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DEB1" w14:textId="3FBA6428" w:rsidR="00285B13" w:rsidRPr="00CD4E37" w:rsidRDefault="00285B13" w:rsidP="00891282">
      <w:pPr>
        <w:tabs>
          <w:tab w:val="clear" w:pos="567"/>
        </w:tabs>
        <w:spacing w:line="240" w:lineRule="auto"/>
        <w:rPr>
          <w:lang w:val="nl-NL"/>
        </w:rPr>
      </w:pPr>
      <w:r w:rsidRPr="00CD4E37">
        <w:rPr>
          <w:noProof/>
          <w:lang w:val="nl-NL"/>
        </w:rPr>
        <w:drawing>
          <wp:inline distT="0" distB="0" distL="0" distR="0" wp14:anchorId="72230444" wp14:editId="44679D7D">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CD4E37">
        <w:rPr>
          <w:lang w:val="nl-NL"/>
        </w:rPr>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p>
    <w:p w14:paraId="4359E4DF" w14:textId="77777777" w:rsidR="00285B13" w:rsidRPr="00CD4E37" w:rsidRDefault="00285B13" w:rsidP="00891282">
      <w:pPr>
        <w:tabs>
          <w:tab w:val="clear" w:pos="567"/>
        </w:tabs>
        <w:spacing w:line="240" w:lineRule="auto"/>
        <w:rPr>
          <w:szCs w:val="22"/>
          <w:lang w:val="nl-NL"/>
        </w:rPr>
      </w:pPr>
    </w:p>
    <w:p w14:paraId="6AAE1E2B" w14:textId="77777777" w:rsidR="00285B13" w:rsidRPr="00CD4E37" w:rsidRDefault="00285B13" w:rsidP="00891282">
      <w:pPr>
        <w:tabs>
          <w:tab w:val="clear" w:pos="567"/>
        </w:tabs>
        <w:spacing w:line="240" w:lineRule="auto"/>
        <w:rPr>
          <w:szCs w:val="22"/>
          <w:lang w:val="nl-NL"/>
        </w:rPr>
      </w:pPr>
    </w:p>
    <w:p w14:paraId="34C84BB0" w14:textId="77777777" w:rsidR="00285B13" w:rsidRPr="00CD4E37" w:rsidRDefault="00285B13" w:rsidP="00891282">
      <w:pPr>
        <w:keepNext/>
        <w:suppressAutoHyphens/>
        <w:spacing w:line="240" w:lineRule="auto"/>
        <w:ind w:left="567" w:hanging="567"/>
        <w:rPr>
          <w:szCs w:val="22"/>
          <w:lang w:val="nl-NL"/>
        </w:rPr>
      </w:pPr>
      <w:r w:rsidRPr="00CD4E37">
        <w:rPr>
          <w:b/>
          <w:bCs/>
          <w:szCs w:val="22"/>
          <w:lang w:val="nl-NL"/>
        </w:rPr>
        <w:t>1.</w:t>
      </w:r>
      <w:r w:rsidRPr="00CD4E37">
        <w:rPr>
          <w:b/>
          <w:bCs/>
          <w:szCs w:val="22"/>
          <w:lang w:val="nl-NL"/>
        </w:rPr>
        <w:tab/>
        <w:t>NAAM VAN HET GENEESMIDDEL</w:t>
      </w:r>
    </w:p>
    <w:p w14:paraId="030C6047" w14:textId="77777777" w:rsidR="00285B13" w:rsidRPr="00CD4E37" w:rsidRDefault="00285B13" w:rsidP="00891282">
      <w:pPr>
        <w:keepNext/>
        <w:tabs>
          <w:tab w:val="clear" w:pos="567"/>
        </w:tabs>
        <w:spacing w:line="240" w:lineRule="auto"/>
        <w:rPr>
          <w:szCs w:val="22"/>
          <w:lang w:val="nl-NL"/>
        </w:rPr>
      </w:pPr>
    </w:p>
    <w:p w14:paraId="0CD64642" w14:textId="77777777" w:rsidR="00285B13" w:rsidRPr="00CD4E37" w:rsidRDefault="00285B13" w:rsidP="00891282">
      <w:pPr>
        <w:tabs>
          <w:tab w:val="clear" w:pos="567"/>
        </w:tabs>
        <w:spacing w:line="240" w:lineRule="auto"/>
        <w:rPr>
          <w:szCs w:val="22"/>
          <w:lang w:val="nl-NL"/>
        </w:rPr>
      </w:pPr>
      <w:r w:rsidRPr="00CD4E37">
        <w:rPr>
          <w:szCs w:val="22"/>
          <w:lang w:val="nl-NL"/>
        </w:rPr>
        <w:t>VANFLYTA 17,7 mg filmomhulde tabletten</w:t>
      </w:r>
    </w:p>
    <w:p w14:paraId="135209E1" w14:textId="77777777" w:rsidR="00285B13" w:rsidRPr="00CD4E37" w:rsidRDefault="00285B13" w:rsidP="00891282">
      <w:pPr>
        <w:tabs>
          <w:tab w:val="clear" w:pos="567"/>
        </w:tabs>
        <w:spacing w:line="240" w:lineRule="auto"/>
        <w:rPr>
          <w:iCs/>
          <w:szCs w:val="22"/>
          <w:lang w:val="nl-NL"/>
        </w:rPr>
      </w:pPr>
      <w:r w:rsidRPr="00CD4E37">
        <w:rPr>
          <w:szCs w:val="22"/>
          <w:lang w:val="nl-NL"/>
        </w:rPr>
        <w:t>VANFLYTA 26,5 mg filmomhulde tabletten</w:t>
      </w:r>
    </w:p>
    <w:p w14:paraId="4D51B42D" w14:textId="77777777" w:rsidR="00285B13" w:rsidRPr="00CD4E37" w:rsidRDefault="00285B13" w:rsidP="00891282">
      <w:pPr>
        <w:tabs>
          <w:tab w:val="clear" w:pos="567"/>
        </w:tabs>
        <w:spacing w:line="240" w:lineRule="auto"/>
        <w:rPr>
          <w:iCs/>
          <w:szCs w:val="22"/>
          <w:lang w:val="nl-NL"/>
        </w:rPr>
      </w:pPr>
    </w:p>
    <w:p w14:paraId="5279FCD3" w14:textId="77777777" w:rsidR="00285B13" w:rsidRPr="00CD4E37" w:rsidRDefault="00285B13" w:rsidP="00891282">
      <w:pPr>
        <w:tabs>
          <w:tab w:val="clear" w:pos="567"/>
        </w:tabs>
        <w:spacing w:line="240" w:lineRule="auto"/>
        <w:rPr>
          <w:iCs/>
          <w:szCs w:val="22"/>
          <w:lang w:val="nl-NL"/>
        </w:rPr>
      </w:pPr>
    </w:p>
    <w:p w14:paraId="2CE4FDF9" w14:textId="77777777" w:rsidR="00285B13" w:rsidRPr="00CD4E37" w:rsidRDefault="00285B13" w:rsidP="00891282">
      <w:pPr>
        <w:keepNext/>
        <w:suppressAutoHyphens/>
        <w:spacing w:line="240" w:lineRule="auto"/>
        <w:ind w:left="567" w:hanging="567"/>
        <w:rPr>
          <w:szCs w:val="22"/>
          <w:lang w:val="nl-NL"/>
        </w:rPr>
      </w:pPr>
      <w:r w:rsidRPr="00CD4E37">
        <w:rPr>
          <w:b/>
          <w:bCs/>
          <w:szCs w:val="22"/>
          <w:lang w:val="nl-NL"/>
        </w:rPr>
        <w:t>2.</w:t>
      </w:r>
      <w:r w:rsidRPr="00CD4E37">
        <w:rPr>
          <w:b/>
          <w:bCs/>
          <w:szCs w:val="22"/>
          <w:lang w:val="nl-NL"/>
        </w:rPr>
        <w:tab/>
        <w:t>KWALITATIEVE EN KWANTITATIEVE SAMENSTELLING</w:t>
      </w:r>
    </w:p>
    <w:p w14:paraId="67F012B2" w14:textId="77777777" w:rsidR="00285B13" w:rsidRPr="00CD4E37" w:rsidRDefault="00285B13" w:rsidP="00891282">
      <w:pPr>
        <w:keepNext/>
        <w:tabs>
          <w:tab w:val="clear" w:pos="567"/>
        </w:tabs>
        <w:spacing w:line="240" w:lineRule="auto"/>
        <w:rPr>
          <w:szCs w:val="22"/>
          <w:lang w:val="nl-NL"/>
        </w:rPr>
      </w:pPr>
    </w:p>
    <w:p w14:paraId="000A1D52" w14:textId="77777777" w:rsidR="00285B13" w:rsidRPr="00CD4E37" w:rsidRDefault="00285B13" w:rsidP="00BE5247">
      <w:pPr>
        <w:keepNext/>
        <w:tabs>
          <w:tab w:val="clear" w:pos="567"/>
        </w:tabs>
        <w:spacing w:line="240" w:lineRule="auto"/>
        <w:rPr>
          <w:szCs w:val="22"/>
          <w:u w:val="single"/>
          <w:lang w:val="nl-NL"/>
        </w:rPr>
      </w:pPr>
      <w:r w:rsidRPr="00CD4E37">
        <w:rPr>
          <w:szCs w:val="22"/>
          <w:u w:val="single"/>
          <w:lang w:val="nl-NL"/>
        </w:rPr>
        <w:t>VANFLYTA 17,7 mg filmomhulde tabletten</w:t>
      </w:r>
    </w:p>
    <w:p w14:paraId="5BE97B79" w14:textId="77777777" w:rsidR="00DB2334" w:rsidRPr="00CD4E37" w:rsidRDefault="00DB2334" w:rsidP="001C6ECA">
      <w:pPr>
        <w:keepNext/>
        <w:tabs>
          <w:tab w:val="clear" w:pos="567"/>
        </w:tabs>
        <w:spacing w:line="240" w:lineRule="auto"/>
        <w:rPr>
          <w:szCs w:val="22"/>
          <w:lang w:val="nl-NL"/>
        </w:rPr>
      </w:pPr>
    </w:p>
    <w:p w14:paraId="1F13806C" w14:textId="333A3AAB" w:rsidR="00285B13" w:rsidRPr="00CD4E37" w:rsidRDefault="00285B13" w:rsidP="00891282">
      <w:pPr>
        <w:tabs>
          <w:tab w:val="clear" w:pos="567"/>
        </w:tabs>
        <w:spacing w:line="240" w:lineRule="auto"/>
        <w:rPr>
          <w:szCs w:val="22"/>
          <w:lang w:val="nl-NL"/>
        </w:rPr>
      </w:pPr>
      <w:r w:rsidRPr="00CD4E37">
        <w:rPr>
          <w:szCs w:val="22"/>
          <w:lang w:val="nl-NL"/>
        </w:rPr>
        <w:t>Elke filmomhulde tablet bevat 17,7 mg quizartinib (als dihydrochloride).</w:t>
      </w:r>
    </w:p>
    <w:p w14:paraId="4A327A77" w14:textId="77777777" w:rsidR="00285B13" w:rsidRPr="00CD4E37" w:rsidRDefault="00285B13" w:rsidP="00891282">
      <w:pPr>
        <w:tabs>
          <w:tab w:val="clear" w:pos="567"/>
        </w:tabs>
        <w:spacing w:line="240" w:lineRule="auto"/>
        <w:rPr>
          <w:szCs w:val="22"/>
          <w:lang w:val="nl-NL"/>
        </w:rPr>
      </w:pPr>
    </w:p>
    <w:p w14:paraId="0D90F66F" w14:textId="77777777" w:rsidR="00285B13" w:rsidRPr="00CD4E37" w:rsidRDefault="00285B13" w:rsidP="00BE5247">
      <w:pPr>
        <w:keepNext/>
        <w:tabs>
          <w:tab w:val="clear" w:pos="567"/>
        </w:tabs>
        <w:spacing w:line="240" w:lineRule="auto"/>
        <w:rPr>
          <w:szCs w:val="22"/>
          <w:u w:val="single"/>
          <w:lang w:val="nl-NL"/>
        </w:rPr>
      </w:pPr>
      <w:r w:rsidRPr="00CD4E37">
        <w:rPr>
          <w:szCs w:val="22"/>
          <w:u w:val="single"/>
          <w:lang w:val="nl-NL"/>
        </w:rPr>
        <w:t>VANFLYTA 26,5 mg filmomhulde tabletten</w:t>
      </w:r>
    </w:p>
    <w:p w14:paraId="55D6B73E" w14:textId="77777777" w:rsidR="00DB2334" w:rsidRPr="00CD4E37" w:rsidRDefault="00DB2334" w:rsidP="001C6ECA">
      <w:pPr>
        <w:keepNext/>
        <w:tabs>
          <w:tab w:val="clear" w:pos="567"/>
        </w:tabs>
        <w:spacing w:line="240" w:lineRule="auto"/>
        <w:rPr>
          <w:szCs w:val="22"/>
          <w:lang w:val="nl-NL"/>
        </w:rPr>
      </w:pPr>
    </w:p>
    <w:p w14:paraId="0D4AB394" w14:textId="60527170" w:rsidR="00285B13" w:rsidRPr="00CD4E37" w:rsidRDefault="00285B13" w:rsidP="00891282">
      <w:pPr>
        <w:tabs>
          <w:tab w:val="clear" w:pos="567"/>
        </w:tabs>
        <w:spacing w:line="240" w:lineRule="auto"/>
        <w:rPr>
          <w:szCs w:val="22"/>
          <w:lang w:val="nl-NL"/>
        </w:rPr>
      </w:pPr>
      <w:r w:rsidRPr="00CD4E37">
        <w:rPr>
          <w:szCs w:val="22"/>
          <w:lang w:val="nl-NL"/>
        </w:rPr>
        <w:t>Elke filmomhulde tablet bevat 26,5 mg quizartinib (als dihydrochloride).</w:t>
      </w:r>
    </w:p>
    <w:p w14:paraId="05D7F189" w14:textId="77777777" w:rsidR="00285B13" w:rsidRPr="00CD4E37" w:rsidRDefault="00285B13" w:rsidP="00891282">
      <w:pPr>
        <w:tabs>
          <w:tab w:val="clear" w:pos="567"/>
        </w:tabs>
        <w:spacing w:line="240" w:lineRule="auto"/>
        <w:rPr>
          <w:szCs w:val="22"/>
          <w:lang w:val="nl-NL"/>
        </w:rPr>
      </w:pPr>
    </w:p>
    <w:p w14:paraId="4859D429" w14:textId="77777777" w:rsidR="00285B13" w:rsidRPr="00CD4E37" w:rsidRDefault="00285B13" w:rsidP="00891282">
      <w:pPr>
        <w:tabs>
          <w:tab w:val="clear" w:pos="567"/>
        </w:tabs>
        <w:spacing w:line="240" w:lineRule="auto"/>
        <w:rPr>
          <w:szCs w:val="22"/>
          <w:lang w:val="nl-NL"/>
        </w:rPr>
      </w:pPr>
      <w:r w:rsidRPr="00CD4E37">
        <w:rPr>
          <w:szCs w:val="22"/>
          <w:lang w:val="nl-NL"/>
        </w:rPr>
        <w:t>Voor de volledige lijst van hulpstoffen, zie rubriek 6.1.</w:t>
      </w:r>
    </w:p>
    <w:p w14:paraId="392CF5FF" w14:textId="77777777" w:rsidR="00285B13" w:rsidRPr="00CD4E37" w:rsidRDefault="00285B13" w:rsidP="00891282">
      <w:pPr>
        <w:tabs>
          <w:tab w:val="clear" w:pos="567"/>
        </w:tabs>
        <w:spacing w:line="240" w:lineRule="auto"/>
        <w:rPr>
          <w:szCs w:val="22"/>
          <w:lang w:val="nl-NL"/>
        </w:rPr>
      </w:pPr>
    </w:p>
    <w:p w14:paraId="0CE60DF5" w14:textId="77777777" w:rsidR="00285B13" w:rsidRPr="00CD4E37" w:rsidRDefault="00285B13" w:rsidP="00891282">
      <w:pPr>
        <w:tabs>
          <w:tab w:val="clear" w:pos="567"/>
        </w:tabs>
        <w:spacing w:line="240" w:lineRule="auto"/>
        <w:rPr>
          <w:szCs w:val="22"/>
          <w:lang w:val="nl-NL"/>
        </w:rPr>
      </w:pPr>
    </w:p>
    <w:p w14:paraId="70B22D11" w14:textId="77777777" w:rsidR="00285B13" w:rsidRPr="00CD4E37" w:rsidRDefault="00285B13" w:rsidP="00891282">
      <w:pPr>
        <w:keepNext/>
        <w:suppressAutoHyphens/>
        <w:spacing w:line="240" w:lineRule="auto"/>
        <w:ind w:left="567" w:hanging="567"/>
        <w:rPr>
          <w:caps/>
          <w:szCs w:val="22"/>
          <w:lang w:val="nl-NL"/>
        </w:rPr>
      </w:pPr>
      <w:r w:rsidRPr="00CD4E37">
        <w:rPr>
          <w:b/>
          <w:bCs/>
          <w:szCs w:val="22"/>
          <w:lang w:val="nl-NL"/>
        </w:rPr>
        <w:t>3.</w:t>
      </w:r>
      <w:r w:rsidRPr="00CD4E37">
        <w:rPr>
          <w:b/>
          <w:bCs/>
          <w:szCs w:val="22"/>
          <w:lang w:val="nl-NL"/>
        </w:rPr>
        <w:tab/>
        <w:t>FARMACEUTISCHE VORM</w:t>
      </w:r>
    </w:p>
    <w:p w14:paraId="7E77E6CC" w14:textId="77777777" w:rsidR="00285B13" w:rsidRPr="00CD4E37" w:rsidRDefault="00285B13" w:rsidP="00891282">
      <w:pPr>
        <w:keepNext/>
        <w:tabs>
          <w:tab w:val="clear" w:pos="567"/>
        </w:tabs>
        <w:suppressAutoHyphens/>
        <w:spacing w:line="240" w:lineRule="auto"/>
        <w:rPr>
          <w:szCs w:val="22"/>
          <w:lang w:val="nl-NL"/>
        </w:rPr>
      </w:pPr>
    </w:p>
    <w:p w14:paraId="58DE299A" w14:textId="77777777" w:rsidR="00285B13" w:rsidRPr="00CD4E37" w:rsidRDefault="00285B13" w:rsidP="00891282">
      <w:pPr>
        <w:tabs>
          <w:tab w:val="clear" w:pos="567"/>
        </w:tabs>
        <w:spacing w:line="240" w:lineRule="auto"/>
        <w:rPr>
          <w:szCs w:val="22"/>
          <w:lang w:val="nl-NL"/>
        </w:rPr>
      </w:pPr>
      <w:r w:rsidRPr="00CD4E37">
        <w:rPr>
          <w:szCs w:val="22"/>
          <w:lang w:val="nl-NL"/>
        </w:rPr>
        <w:t>Filmomhulde tablet (tablet).</w:t>
      </w:r>
    </w:p>
    <w:p w14:paraId="5DEEDEC5" w14:textId="77777777" w:rsidR="00285B13" w:rsidRPr="00CD4E37" w:rsidRDefault="00285B13" w:rsidP="00891282">
      <w:pPr>
        <w:tabs>
          <w:tab w:val="clear" w:pos="567"/>
        </w:tabs>
        <w:spacing w:line="240" w:lineRule="auto"/>
        <w:rPr>
          <w:szCs w:val="22"/>
          <w:lang w:val="nl-NL"/>
        </w:rPr>
      </w:pPr>
    </w:p>
    <w:p w14:paraId="2FE52600" w14:textId="77777777" w:rsidR="00285B13" w:rsidRPr="00CD4E37" w:rsidRDefault="00285B13" w:rsidP="00BE5247">
      <w:pPr>
        <w:keepNext/>
        <w:tabs>
          <w:tab w:val="clear" w:pos="567"/>
        </w:tabs>
        <w:spacing w:line="240" w:lineRule="auto"/>
        <w:rPr>
          <w:szCs w:val="22"/>
          <w:u w:val="single"/>
          <w:lang w:val="nl-NL"/>
        </w:rPr>
      </w:pPr>
      <w:r w:rsidRPr="00CD4E37">
        <w:rPr>
          <w:szCs w:val="22"/>
          <w:u w:val="single"/>
          <w:lang w:val="nl-NL"/>
        </w:rPr>
        <w:t>VANFLYTA 17,7 mg filmomhulde tabletten</w:t>
      </w:r>
    </w:p>
    <w:p w14:paraId="3A85CF8F" w14:textId="77777777" w:rsidR="00DB2334" w:rsidRPr="00CD4E37" w:rsidRDefault="00DB2334" w:rsidP="001C6ECA">
      <w:pPr>
        <w:keepNext/>
        <w:tabs>
          <w:tab w:val="clear" w:pos="567"/>
        </w:tabs>
        <w:spacing w:line="240" w:lineRule="auto"/>
        <w:rPr>
          <w:szCs w:val="22"/>
          <w:lang w:val="nl-NL"/>
        </w:rPr>
      </w:pPr>
    </w:p>
    <w:p w14:paraId="04EFA033" w14:textId="53179E56" w:rsidR="00285B13" w:rsidRPr="00CD4E37" w:rsidRDefault="00285B13" w:rsidP="00891282">
      <w:pPr>
        <w:tabs>
          <w:tab w:val="clear" w:pos="567"/>
        </w:tabs>
        <w:spacing w:line="240" w:lineRule="auto"/>
        <w:rPr>
          <w:szCs w:val="22"/>
          <w:lang w:val="nl-NL"/>
        </w:rPr>
      </w:pPr>
      <w:r w:rsidRPr="00CD4E37">
        <w:rPr>
          <w:szCs w:val="22"/>
          <w:lang w:val="nl-NL"/>
        </w:rPr>
        <w:t>Witte, ronde</w:t>
      </w:r>
      <w:r w:rsidR="00D4473B">
        <w:rPr>
          <w:szCs w:val="22"/>
          <w:lang w:val="nl-NL"/>
        </w:rPr>
        <w:t>,</w:t>
      </w:r>
      <w:r w:rsidRPr="00CD4E37">
        <w:rPr>
          <w:szCs w:val="22"/>
          <w:lang w:val="nl-NL"/>
        </w:rPr>
        <w:t xml:space="preserve"> filmomhulde tabletten met een diameter van 8,9 mm en </w:t>
      </w:r>
      <w:r w:rsidR="00707722" w:rsidRPr="00CD4E37">
        <w:rPr>
          <w:szCs w:val="22"/>
          <w:lang w:val="nl-NL"/>
        </w:rPr>
        <w:t>‘</w:t>
      </w:r>
      <w:r w:rsidRPr="00CD4E37">
        <w:rPr>
          <w:szCs w:val="22"/>
          <w:lang w:val="nl-NL"/>
        </w:rPr>
        <w:t>DSC 511</w:t>
      </w:r>
      <w:r w:rsidR="00707722" w:rsidRPr="00CD4E37">
        <w:rPr>
          <w:szCs w:val="22"/>
          <w:lang w:val="nl-NL"/>
        </w:rPr>
        <w:t>’</w:t>
      </w:r>
      <w:r w:rsidRPr="00CD4E37">
        <w:rPr>
          <w:szCs w:val="22"/>
          <w:lang w:val="nl-NL"/>
        </w:rPr>
        <w:t xml:space="preserve"> gegraveerd aan één zijde.</w:t>
      </w:r>
    </w:p>
    <w:p w14:paraId="77E181F7" w14:textId="77777777" w:rsidR="00285B13" w:rsidRPr="00CD4E37" w:rsidRDefault="00285B13" w:rsidP="00891282">
      <w:pPr>
        <w:tabs>
          <w:tab w:val="clear" w:pos="567"/>
        </w:tabs>
        <w:spacing w:line="240" w:lineRule="auto"/>
        <w:rPr>
          <w:szCs w:val="22"/>
          <w:lang w:val="nl-NL"/>
        </w:rPr>
      </w:pPr>
    </w:p>
    <w:p w14:paraId="2143DED6" w14:textId="77777777" w:rsidR="00285B13" w:rsidRPr="00CD4E37" w:rsidRDefault="00285B13" w:rsidP="00BE5247">
      <w:pPr>
        <w:keepNext/>
        <w:tabs>
          <w:tab w:val="clear" w:pos="567"/>
        </w:tabs>
        <w:spacing w:line="240" w:lineRule="auto"/>
        <w:rPr>
          <w:szCs w:val="22"/>
          <w:u w:val="single"/>
          <w:lang w:val="nl-NL"/>
        </w:rPr>
      </w:pPr>
      <w:r w:rsidRPr="00CD4E37">
        <w:rPr>
          <w:szCs w:val="22"/>
          <w:u w:val="single"/>
          <w:lang w:val="nl-NL"/>
        </w:rPr>
        <w:t>VANFLYTA 26,5 mg filmomhulde tabletten</w:t>
      </w:r>
    </w:p>
    <w:p w14:paraId="48E47C0F" w14:textId="77777777" w:rsidR="00DB2334" w:rsidRPr="00CD4E37" w:rsidRDefault="00DB2334" w:rsidP="001C6ECA">
      <w:pPr>
        <w:keepNext/>
        <w:tabs>
          <w:tab w:val="clear" w:pos="567"/>
        </w:tabs>
        <w:spacing w:line="240" w:lineRule="auto"/>
        <w:rPr>
          <w:szCs w:val="22"/>
          <w:lang w:val="nl-NL"/>
        </w:rPr>
      </w:pPr>
    </w:p>
    <w:p w14:paraId="43C88631" w14:textId="717754D9" w:rsidR="00285B13" w:rsidRPr="00CD4E37" w:rsidRDefault="00285B13" w:rsidP="00891282">
      <w:pPr>
        <w:tabs>
          <w:tab w:val="clear" w:pos="567"/>
        </w:tabs>
        <w:spacing w:line="240" w:lineRule="auto"/>
        <w:rPr>
          <w:szCs w:val="22"/>
          <w:lang w:val="nl-NL"/>
        </w:rPr>
      </w:pPr>
      <w:r w:rsidRPr="00CD4E37">
        <w:rPr>
          <w:szCs w:val="22"/>
          <w:lang w:val="nl-NL"/>
        </w:rPr>
        <w:t>Gele, ronde</w:t>
      </w:r>
      <w:r w:rsidR="00D4473B">
        <w:rPr>
          <w:szCs w:val="22"/>
          <w:lang w:val="nl-NL"/>
        </w:rPr>
        <w:t>,</w:t>
      </w:r>
      <w:r w:rsidRPr="00CD4E37">
        <w:rPr>
          <w:szCs w:val="22"/>
          <w:lang w:val="nl-NL"/>
        </w:rPr>
        <w:t xml:space="preserve"> filmomhulde tabletten met een diameter van 10,2 mm en </w:t>
      </w:r>
      <w:r w:rsidR="00707722" w:rsidRPr="00CD4E37">
        <w:rPr>
          <w:szCs w:val="22"/>
          <w:lang w:val="nl-NL"/>
        </w:rPr>
        <w:t>‘</w:t>
      </w:r>
      <w:r w:rsidRPr="00CD4E37">
        <w:rPr>
          <w:szCs w:val="22"/>
          <w:lang w:val="nl-NL"/>
        </w:rPr>
        <w:t>DSC 512</w:t>
      </w:r>
      <w:r w:rsidR="00707722" w:rsidRPr="00CD4E37">
        <w:rPr>
          <w:szCs w:val="22"/>
          <w:lang w:val="nl-NL"/>
        </w:rPr>
        <w:t>’</w:t>
      </w:r>
      <w:r w:rsidRPr="00CD4E37">
        <w:rPr>
          <w:szCs w:val="22"/>
          <w:lang w:val="nl-NL"/>
        </w:rPr>
        <w:t xml:space="preserve"> gegraveerd aan één zijde.</w:t>
      </w:r>
    </w:p>
    <w:p w14:paraId="7ED0E674" w14:textId="77777777" w:rsidR="00285B13" w:rsidRPr="00CD4E37" w:rsidRDefault="00285B13" w:rsidP="00891282">
      <w:pPr>
        <w:tabs>
          <w:tab w:val="clear" w:pos="567"/>
        </w:tabs>
        <w:spacing w:line="240" w:lineRule="auto"/>
        <w:rPr>
          <w:szCs w:val="22"/>
          <w:lang w:val="nl-NL"/>
        </w:rPr>
      </w:pPr>
    </w:p>
    <w:p w14:paraId="2F25FC7C" w14:textId="77777777" w:rsidR="00285B13" w:rsidRPr="00CD4E37" w:rsidRDefault="00285B13" w:rsidP="00891282">
      <w:pPr>
        <w:tabs>
          <w:tab w:val="clear" w:pos="567"/>
        </w:tabs>
        <w:spacing w:line="240" w:lineRule="auto"/>
        <w:rPr>
          <w:szCs w:val="22"/>
          <w:lang w:val="nl-NL"/>
        </w:rPr>
      </w:pPr>
    </w:p>
    <w:p w14:paraId="5F53DCC3" w14:textId="77777777" w:rsidR="00285B13" w:rsidRPr="00CD4E37" w:rsidRDefault="00285B13" w:rsidP="00891282">
      <w:pPr>
        <w:keepNext/>
        <w:suppressAutoHyphens/>
        <w:spacing w:line="240" w:lineRule="auto"/>
        <w:ind w:left="567" w:hanging="567"/>
        <w:rPr>
          <w:b/>
          <w:szCs w:val="22"/>
          <w:lang w:val="nl-NL"/>
        </w:rPr>
      </w:pPr>
      <w:r w:rsidRPr="00CD4E37">
        <w:rPr>
          <w:b/>
          <w:bCs/>
          <w:szCs w:val="22"/>
          <w:lang w:val="nl-NL"/>
        </w:rPr>
        <w:t>4.</w:t>
      </w:r>
      <w:r w:rsidRPr="00CD4E37">
        <w:rPr>
          <w:b/>
          <w:bCs/>
          <w:szCs w:val="22"/>
          <w:lang w:val="nl-NL"/>
        </w:rPr>
        <w:tab/>
        <w:t>KLINISCHE GEGEVENS</w:t>
      </w:r>
    </w:p>
    <w:p w14:paraId="2F491C21" w14:textId="77777777" w:rsidR="00285B13" w:rsidRPr="00CD4E37" w:rsidRDefault="00285B13" w:rsidP="00891282">
      <w:pPr>
        <w:keepNext/>
        <w:tabs>
          <w:tab w:val="clear" w:pos="567"/>
        </w:tabs>
        <w:spacing w:line="240" w:lineRule="auto"/>
        <w:rPr>
          <w:szCs w:val="22"/>
          <w:lang w:val="nl-NL"/>
        </w:rPr>
      </w:pPr>
    </w:p>
    <w:p w14:paraId="22C8D80F" w14:textId="77777777" w:rsidR="00285B13" w:rsidRPr="00CD4E37" w:rsidRDefault="00285B13" w:rsidP="00891282">
      <w:pPr>
        <w:keepNext/>
        <w:spacing w:line="240" w:lineRule="auto"/>
        <w:rPr>
          <w:b/>
          <w:szCs w:val="22"/>
          <w:lang w:val="nl-NL"/>
        </w:rPr>
      </w:pPr>
      <w:r w:rsidRPr="00CD4E37">
        <w:rPr>
          <w:b/>
          <w:bCs/>
          <w:szCs w:val="22"/>
          <w:lang w:val="nl-NL"/>
        </w:rPr>
        <w:t>4.1</w:t>
      </w:r>
      <w:r w:rsidRPr="00CD4E37">
        <w:rPr>
          <w:b/>
          <w:bCs/>
          <w:szCs w:val="22"/>
          <w:lang w:val="nl-NL"/>
        </w:rPr>
        <w:tab/>
        <w:t>Therapeutische indicaties</w:t>
      </w:r>
    </w:p>
    <w:p w14:paraId="0E158886" w14:textId="77777777" w:rsidR="00285B13" w:rsidRPr="00CD4E37" w:rsidRDefault="00285B13" w:rsidP="00891282">
      <w:pPr>
        <w:keepNext/>
        <w:tabs>
          <w:tab w:val="clear" w:pos="567"/>
        </w:tabs>
        <w:spacing w:line="240" w:lineRule="auto"/>
        <w:rPr>
          <w:szCs w:val="22"/>
          <w:lang w:val="nl-NL"/>
        </w:rPr>
      </w:pPr>
    </w:p>
    <w:p w14:paraId="6B2344AF" w14:textId="2A810DEA" w:rsidR="00285B13" w:rsidRPr="00CD4E37" w:rsidRDefault="00285B13" w:rsidP="00891282">
      <w:pPr>
        <w:tabs>
          <w:tab w:val="clear" w:pos="567"/>
        </w:tabs>
        <w:spacing w:line="240" w:lineRule="auto"/>
        <w:rPr>
          <w:szCs w:val="22"/>
          <w:lang w:val="nl-NL"/>
        </w:rPr>
      </w:pPr>
      <w:bookmarkStart w:id="0" w:name="_Hlk92351625"/>
      <w:r w:rsidRPr="00CD4E37">
        <w:rPr>
          <w:lang w:val="nl-NL"/>
        </w:rPr>
        <w:t>VANFLYTA is geïndiceerd in combinatie met reguliere inductie met cytarabine en antracycline en reguliere consolidatiechemotherapie met cytarabine, gevolgd door onderhoudstherapie met VANFLYTA als monotherapie voor volwassen patiënten met nieuw gediagnosticeerde acute myeloïde leukemie (AML) die positief is voor FLT3-ITD</w:t>
      </w:r>
      <w:bookmarkEnd w:id="0"/>
      <w:r w:rsidRPr="00CD4E37">
        <w:rPr>
          <w:szCs w:val="22"/>
          <w:lang w:val="nl-NL"/>
        </w:rPr>
        <w:t>.</w:t>
      </w:r>
    </w:p>
    <w:p w14:paraId="430EDCC5" w14:textId="77777777" w:rsidR="00285B13" w:rsidRPr="00CD4E37" w:rsidRDefault="00285B13" w:rsidP="00891282">
      <w:pPr>
        <w:tabs>
          <w:tab w:val="clear" w:pos="567"/>
        </w:tabs>
        <w:spacing w:line="240" w:lineRule="auto"/>
        <w:rPr>
          <w:szCs w:val="22"/>
          <w:lang w:val="nl-NL"/>
        </w:rPr>
      </w:pPr>
    </w:p>
    <w:p w14:paraId="2C383A53" w14:textId="77777777" w:rsidR="00285B13" w:rsidRPr="00CD4E37" w:rsidRDefault="00285B13" w:rsidP="00891282">
      <w:pPr>
        <w:keepNext/>
        <w:spacing w:line="240" w:lineRule="auto"/>
        <w:rPr>
          <w:b/>
          <w:szCs w:val="22"/>
          <w:lang w:val="nl-NL"/>
        </w:rPr>
      </w:pPr>
      <w:r w:rsidRPr="00CD4E37">
        <w:rPr>
          <w:b/>
          <w:bCs/>
          <w:szCs w:val="22"/>
          <w:lang w:val="nl-NL"/>
        </w:rPr>
        <w:t>4.2</w:t>
      </w:r>
      <w:r w:rsidRPr="00CD4E37">
        <w:rPr>
          <w:b/>
          <w:bCs/>
          <w:szCs w:val="22"/>
          <w:lang w:val="nl-NL"/>
        </w:rPr>
        <w:tab/>
        <w:t>Dosering en wijze van toediening</w:t>
      </w:r>
    </w:p>
    <w:p w14:paraId="042243F2" w14:textId="77777777" w:rsidR="00285B13" w:rsidRPr="00CD4E37" w:rsidRDefault="00285B13" w:rsidP="00891282">
      <w:pPr>
        <w:keepNext/>
        <w:tabs>
          <w:tab w:val="clear" w:pos="567"/>
        </w:tabs>
        <w:spacing w:line="240" w:lineRule="auto"/>
        <w:rPr>
          <w:szCs w:val="22"/>
          <w:lang w:val="nl-NL"/>
        </w:rPr>
      </w:pPr>
    </w:p>
    <w:p w14:paraId="31953A76" w14:textId="77777777" w:rsidR="00285B13" w:rsidRPr="00CD4E37" w:rsidRDefault="00285B13" w:rsidP="00891282">
      <w:pPr>
        <w:tabs>
          <w:tab w:val="clear" w:pos="567"/>
        </w:tabs>
        <w:spacing w:line="240" w:lineRule="auto"/>
        <w:rPr>
          <w:szCs w:val="22"/>
          <w:lang w:val="nl-NL"/>
        </w:rPr>
      </w:pPr>
      <w:r w:rsidRPr="00CD4E37">
        <w:rPr>
          <w:szCs w:val="22"/>
          <w:lang w:val="nl-NL"/>
        </w:rPr>
        <w:t>Behandeling met VANFLYTA moet worden ingesteld door een arts met ervaring in het gebruik van antikankertherapieën.</w:t>
      </w:r>
    </w:p>
    <w:p w14:paraId="44F08667" w14:textId="77777777" w:rsidR="00285B13" w:rsidRPr="00CD4E37" w:rsidRDefault="00285B13" w:rsidP="00891282">
      <w:pPr>
        <w:tabs>
          <w:tab w:val="clear" w:pos="567"/>
        </w:tabs>
        <w:spacing w:line="240" w:lineRule="auto"/>
        <w:rPr>
          <w:szCs w:val="22"/>
          <w:lang w:val="nl-NL"/>
        </w:rPr>
      </w:pPr>
    </w:p>
    <w:p w14:paraId="6EF91F6B" w14:textId="134F4130" w:rsidR="00AC01F7" w:rsidRPr="00CD4E37" w:rsidRDefault="00285B13" w:rsidP="00891282">
      <w:pPr>
        <w:tabs>
          <w:tab w:val="clear" w:pos="567"/>
        </w:tabs>
        <w:spacing w:line="240" w:lineRule="auto"/>
        <w:rPr>
          <w:szCs w:val="22"/>
          <w:lang w:val="nl-NL"/>
        </w:rPr>
      </w:pPr>
      <w:r w:rsidRPr="00CD4E37">
        <w:rPr>
          <w:szCs w:val="22"/>
          <w:lang w:val="nl-NL"/>
        </w:rPr>
        <w:t xml:space="preserve">Alvorens VANFLYTA te gaan gebruiken, moeten patiënten met AML bevestiging hebben dat zij FLT3-ITD-positieve AML hebben door middel van een medisch hulpmiddel voor in-vitrodiagnostiek (IVD) </w:t>
      </w:r>
      <w:r w:rsidR="00CB0130" w:rsidRPr="00CD4E37">
        <w:rPr>
          <w:szCs w:val="22"/>
          <w:lang w:val="nl-NL"/>
        </w:rPr>
        <w:t xml:space="preserve">overeenkomstig het beoogde doel, </w:t>
      </w:r>
      <w:r w:rsidRPr="00CD4E37">
        <w:rPr>
          <w:szCs w:val="22"/>
          <w:lang w:val="nl-NL"/>
        </w:rPr>
        <w:t xml:space="preserve">dat is voorzien van een CE-markering. Indien er geen IVD </w:t>
      </w:r>
      <w:r w:rsidRPr="00CD4E37">
        <w:rPr>
          <w:szCs w:val="22"/>
          <w:lang w:val="nl-NL"/>
        </w:rPr>
        <w:lastRenderedPageBreak/>
        <w:t>met CE-markering beschikbaar is, dient de bevestiging van FLT3-ITD-positieve AML door middel van een andere gevalideerde test te worden gedaan.</w:t>
      </w:r>
    </w:p>
    <w:p w14:paraId="5A60E679" w14:textId="4BB80DE0" w:rsidR="00285B13" w:rsidRPr="00CD4E37" w:rsidRDefault="00CB0130" w:rsidP="00891282">
      <w:pPr>
        <w:tabs>
          <w:tab w:val="clear" w:pos="567"/>
        </w:tabs>
        <w:spacing w:line="240" w:lineRule="auto"/>
        <w:rPr>
          <w:szCs w:val="22"/>
          <w:lang w:val="nl-NL"/>
        </w:rPr>
      </w:pPr>
      <w:r w:rsidRPr="00CD4E37">
        <w:rPr>
          <w:szCs w:val="22"/>
          <w:lang w:val="nl-NL"/>
        </w:rPr>
        <w:t>Er moeten ECG’s worden uitgevoerd en afwijkingen in elektrolyten moeten worden gecorrigeerd alvorens een behandeling in te stellen (zie rubriek 4.4).</w:t>
      </w:r>
    </w:p>
    <w:p w14:paraId="52768D9E" w14:textId="77777777" w:rsidR="00285B13" w:rsidRPr="00CD4E37" w:rsidRDefault="00285B13" w:rsidP="00891282">
      <w:pPr>
        <w:tabs>
          <w:tab w:val="clear" w:pos="567"/>
        </w:tabs>
        <w:spacing w:line="240" w:lineRule="auto"/>
        <w:rPr>
          <w:szCs w:val="22"/>
          <w:lang w:val="nl-NL"/>
        </w:rPr>
      </w:pPr>
    </w:p>
    <w:p w14:paraId="2923C230"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Dosering</w:t>
      </w:r>
    </w:p>
    <w:p w14:paraId="5BDD7278" w14:textId="77777777" w:rsidR="00285B13" w:rsidRPr="00CD4E37" w:rsidRDefault="00285B13" w:rsidP="00891282">
      <w:pPr>
        <w:keepNext/>
        <w:tabs>
          <w:tab w:val="clear" w:pos="567"/>
        </w:tabs>
        <w:spacing w:line="240" w:lineRule="auto"/>
        <w:rPr>
          <w:lang w:val="nl-NL"/>
        </w:rPr>
      </w:pPr>
    </w:p>
    <w:p w14:paraId="597D46ED" w14:textId="18669E9E" w:rsidR="00285B13" w:rsidRPr="00CD4E37" w:rsidRDefault="00285B13" w:rsidP="00891282">
      <w:pPr>
        <w:tabs>
          <w:tab w:val="clear" w:pos="567"/>
        </w:tabs>
        <w:spacing w:line="240" w:lineRule="auto"/>
        <w:rPr>
          <w:rFonts w:cstheme="minorHAnsi"/>
          <w:bCs/>
          <w:szCs w:val="24"/>
          <w:lang w:val="nl-NL"/>
        </w:rPr>
      </w:pPr>
      <w:r w:rsidRPr="00CD4E37">
        <w:rPr>
          <w:szCs w:val="24"/>
          <w:lang w:val="nl-NL"/>
        </w:rPr>
        <w:t xml:space="preserve">VANFLYTA moet worden toegediend in combinatie met standaardchemotherapie in een dosis van 35,4 mg (2 × 17,7 mg) eenmaal daags gedurende twee weken tijdens elke inductiecyclus. Bij patiënten die </w:t>
      </w:r>
      <w:r w:rsidRPr="00CD4E37">
        <w:rPr>
          <w:lang w:val="nl-NL"/>
        </w:rPr>
        <w:t>complete remissie (</w:t>
      </w:r>
      <w:r w:rsidRPr="00CD4E37">
        <w:rPr>
          <w:szCs w:val="24"/>
          <w:lang w:val="nl-NL"/>
        </w:rPr>
        <w:t xml:space="preserve">CR) of </w:t>
      </w:r>
      <w:bookmarkStart w:id="1" w:name="_Hlk87870316"/>
      <w:r w:rsidRPr="00CD4E37">
        <w:rPr>
          <w:lang w:val="nl-NL"/>
        </w:rPr>
        <w:t xml:space="preserve">complete remissie met incompleet hematologisch herstel </w:t>
      </w:r>
      <w:bookmarkEnd w:id="1"/>
      <w:r w:rsidRPr="00CD4E37">
        <w:rPr>
          <w:lang w:val="nl-NL"/>
        </w:rPr>
        <w:t>(</w:t>
      </w:r>
      <w:r w:rsidRPr="00CD4E37">
        <w:rPr>
          <w:szCs w:val="24"/>
          <w:lang w:val="nl-NL"/>
        </w:rPr>
        <w:t>CRi) bereiken, dient VANFLYTA te worden toegediend in een dosis van 35,4 mg eenmaal daags gedurende twee weken tijdens elke cyclus van consolidatiechemotherapie, gevolgd door onderhoudstherapie met VANFLYTA als monotherapie, te beginnen bij 26,5 mg eenmaal daags. Na twee weken dient de onderhoudsdosis verhoogd te worden tot 53 mg (2 </w:t>
      </w:r>
      <w:bookmarkStart w:id="2" w:name="_Hlk128594399"/>
      <w:r w:rsidRPr="00CD4E37">
        <w:rPr>
          <w:szCs w:val="24"/>
          <w:lang w:val="nl-NL"/>
        </w:rPr>
        <w:t>×</w:t>
      </w:r>
      <w:bookmarkEnd w:id="2"/>
      <w:r w:rsidRPr="00CD4E37">
        <w:rPr>
          <w:szCs w:val="24"/>
          <w:lang w:val="nl-NL"/>
        </w:rPr>
        <w:t> 26,5 mg) eenmaal daags indien het QT-interval</w:t>
      </w:r>
      <w:r w:rsidR="00B344DD">
        <w:rPr>
          <w:szCs w:val="24"/>
          <w:lang w:val="nl-NL"/>
        </w:rPr>
        <w:t>,</w:t>
      </w:r>
      <w:r w:rsidRPr="00CD4E37">
        <w:rPr>
          <w:szCs w:val="24"/>
          <w:lang w:val="nl-NL"/>
        </w:rPr>
        <w:t xml:space="preserve"> gecorrigeerd volgens de formule van Fridericia (QTcF)</w:t>
      </w:r>
      <w:r w:rsidR="00B344DD">
        <w:rPr>
          <w:szCs w:val="24"/>
          <w:lang w:val="nl-NL"/>
        </w:rPr>
        <w:t>,</w:t>
      </w:r>
      <w:r w:rsidRPr="00CD4E37">
        <w:rPr>
          <w:szCs w:val="24"/>
          <w:lang w:val="nl-NL"/>
        </w:rPr>
        <w:t> ≤ 450 ms is (zie tabel 2 en rubriek 4.4). De monotherapie als onderhoudstherapie mag maximaal 36 cycli worden voortgezet.</w:t>
      </w:r>
    </w:p>
    <w:p w14:paraId="3616CA10" w14:textId="77777777" w:rsidR="00285B13" w:rsidRPr="00CD4E37" w:rsidRDefault="00285B13" w:rsidP="00891282">
      <w:pPr>
        <w:tabs>
          <w:tab w:val="clear" w:pos="567"/>
        </w:tabs>
        <w:spacing w:line="240" w:lineRule="auto"/>
        <w:rPr>
          <w:rFonts w:cstheme="minorHAnsi"/>
          <w:bCs/>
          <w:szCs w:val="24"/>
          <w:lang w:val="nl-NL"/>
        </w:rPr>
      </w:pPr>
    </w:p>
    <w:p w14:paraId="2352AB18" w14:textId="77777777" w:rsidR="00285B13" w:rsidRPr="00CD4E37" w:rsidRDefault="00285B13" w:rsidP="00891282">
      <w:pPr>
        <w:tabs>
          <w:tab w:val="clear" w:pos="567"/>
        </w:tabs>
        <w:spacing w:line="240" w:lineRule="auto"/>
        <w:rPr>
          <w:rFonts w:cstheme="minorHAnsi"/>
          <w:szCs w:val="24"/>
          <w:lang w:val="nl-NL"/>
        </w:rPr>
      </w:pPr>
      <w:bookmarkStart w:id="3" w:name="_Hlk78300596"/>
      <w:r w:rsidRPr="00CD4E37">
        <w:rPr>
          <w:rFonts w:cstheme="minorHAnsi"/>
          <w:szCs w:val="24"/>
          <w:lang w:val="nl-NL"/>
        </w:rPr>
        <w:t>Zie tabel 1 tot en met 3 voor aanvullende informatie over de dosering.</w:t>
      </w:r>
    </w:p>
    <w:p w14:paraId="357A850C" w14:textId="77777777" w:rsidR="00285B13" w:rsidRPr="00CD4E37" w:rsidRDefault="00285B13" w:rsidP="00891282">
      <w:pPr>
        <w:tabs>
          <w:tab w:val="clear" w:pos="567"/>
        </w:tabs>
        <w:spacing w:line="240" w:lineRule="auto"/>
        <w:rPr>
          <w:rFonts w:cstheme="minorHAnsi"/>
          <w:szCs w:val="24"/>
          <w:lang w:val="nl-NL"/>
        </w:rPr>
      </w:pPr>
    </w:p>
    <w:bookmarkEnd w:id="3"/>
    <w:p w14:paraId="384EE238" w14:textId="77777777" w:rsidR="00285B13" w:rsidRPr="00CD4E37" w:rsidRDefault="00285B13" w:rsidP="00891282">
      <w:pPr>
        <w:keepNext/>
        <w:tabs>
          <w:tab w:val="clear" w:pos="567"/>
        </w:tabs>
        <w:spacing w:line="240" w:lineRule="auto"/>
        <w:rPr>
          <w:szCs w:val="22"/>
          <w:lang w:val="nl-NL"/>
        </w:rPr>
      </w:pPr>
      <w:r w:rsidRPr="00CD4E37">
        <w:rPr>
          <w:b/>
          <w:bCs/>
          <w:szCs w:val="24"/>
          <w:lang w:val="nl-NL"/>
        </w:rPr>
        <w:t xml:space="preserve">Tabel 1: </w:t>
      </w:r>
      <w:r w:rsidRPr="00CD4E37">
        <w:rPr>
          <w:b/>
          <w:bCs/>
          <w:color w:val="000000"/>
          <w:lang w:val="nl-NL"/>
        </w:rPr>
        <w:t>Doseringsschema</w:t>
      </w:r>
    </w:p>
    <w:tbl>
      <w:tblPr>
        <w:tblW w:w="907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74"/>
        <w:gridCol w:w="2211"/>
        <w:gridCol w:w="2211"/>
        <w:gridCol w:w="3175"/>
      </w:tblGrid>
      <w:tr w:rsidR="00285B13" w:rsidRPr="00CD4E37" w14:paraId="43D1156B" w14:textId="77777777" w:rsidTr="00387A3F">
        <w:trPr>
          <w:trHeight w:val="309"/>
        </w:trPr>
        <w:tc>
          <w:tcPr>
            <w:tcW w:w="1474" w:type="dxa"/>
            <w:vMerge w:val="restart"/>
            <w:shd w:val="clear" w:color="auto" w:fill="auto"/>
            <w:noWrap/>
            <w:tcMar>
              <w:top w:w="0" w:type="dxa"/>
              <w:left w:w="108" w:type="dxa"/>
              <w:bottom w:w="0" w:type="dxa"/>
              <w:right w:w="108" w:type="dxa"/>
            </w:tcMar>
            <w:vAlign w:val="center"/>
            <w:hideMark/>
          </w:tcPr>
          <w:p w14:paraId="45495569" w14:textId="77777777" w:rsidR="00285B13" w:rsidRPr="00CD4E37" w:rsidRDefault="00285B13" w:rsidP="00387A3F">
            <w:pPr>
              <w:spacing w:line="240" w:lineRule="auto"/>
              <w:jc w:val="center"/>
              <w:rPr>
                <w:b/>
                <w:bCs/>
                <w:lang w:val="nl-NL"/>
              </w:rPr>
            </w:pPr>
            <w:r w:rsidRPr="00CD4E37">
              <w:rPr>
                <w:b/>
                <w:bCs/>
                <w:color w:val="000000"/>
                <w:lang w:val="nl-NL"/>
              </w:rPr>
              <w:t>Instelling van de behandeling met VANFLYTA</w:t>
            </w:r>
          </w:p>
        </w:tc>
        <w:tc>
          <w:tcPr>
            <w:tcW w:w="2211" w:type="dxa"/>
            <w:tcMar>
              <w:top w:w="0" w:type="dxa"/>
              <w:left w:w="108" w:type="dxa"/>
              <w:bottom w:w="0" w:type="dxa"/>
              <w:right w:w="108" w:type="dxa"/>
            </w:tcMar>
            <w:vAlign w:val="center"/>
            <w:hideMark/>
          </w:tcPr>
          <w:p w14:paraId="295E7988" w14:textId="03AD4AA0" w:rsidR="00285B13" w:rsidRPr="00CD4E37" w:rsidRDefault="00285B13" w:rsidP="00387A3F">
            <w:pPr>
              <w:spacing w:line="240" w:lineRule="auto"/>
              <w:jc w:val="center"/>
              <w:rPr>
                <w:rFonts w:eastAsiaTheme="minorEastAsia"/>
                <w:b/>
                <w:bCs/>
                <w:color w:val="000000"/>
                <w:szCs w:val="22"/>
                <w:lang w:val="nl-NL"/>
              </w:rPr>
            </w:pPr>
            <w:r w:rsidRPr="00CD4E37">
              <w:rPr>
                <w:b/>
                <w:bCs/>
                <w:color w:val="000000"/>
                <w:lang w:val="nl-NL"/>
              </w:rPr>
              <w:t>Inductie</w:t>
            </w:r>
            <w:r w:rsidRPr="00CD4E37">
              <w:rPr>
                <w:color w:val="000000"/>
                <w:vertAlign w:val="superscript"/>
                <w:lang w:val="nl-NL"/>
              </w:rPr>
              <w:t>a</w:t>
            </w:r>
          </w:p>
        </w:tc>
        <w:tc>
          <w:tcPr>
            <w:tcW w:w="2211" w:type="dxa"/>
            <w:vAlign w:val="center"/>
          </w:tcPr>
          <w:p w14:paraId="28692ED3" w14:textId="42CD6926" w:rsidR="00285B13" w:rsidRPr="00CD4E37" w:rsidRDefault="00285B13" w:rsidP="00387A3F">
            <w:pPr>
              <w:spacing w:line="240" w:lineRule="auto"/>
              <w:jc w:val="center"/>
              <w:rPr>
                <w:rFonts w:eastAsiaTheme="minorEastAsia"/>
                <w:b/>
                <w:bCs/>
                <w:color w:val="000000"/>
                <w:szCs w:val="22"/>
                <w:lang w:val="nl-NL"/>
              </w:rPr>
            </w:pPr>
            <w:r w:rsidRPr="00CD4E37">
              <w:rPr>
                <w:b/>
                <w:bCs/>
                <w:color w:val="000000"/>
                <w:lang w:val="nl-NL"/>
              </w:rPr>
              <w:t>Consolidatie</w:t>
            </w:r>
            <w:r w:rsidRPr="00CD4E37">
              <w:rPr>
                <w:color w:val="000000"/>
                <w:vertAlign w:val="superscript"/>
                <w:lang w:val="nl-NL"/>
              </w:rPr>
              <w:t>b</w:t>
            </w:r>
          </w:p>
        </w:tc>
        <w:tc>
          <w:tcPr>
            <w:tcW w:w="3175" w:type="dxa"/>
            <w:shd w:val="clear" w:color="auto" w:fill="auto"/>
            <w:vAlign w:val="center"/>
          </w:tcPr>
          <w:p w14:paraId="66361504" w14:textId="77777777" w:rsidR="00285B13" w:rsidRPr="00CD4E37" w:rsidRDefault="00285B13" w:rsidP="00387A3F">
            <w:pPr>
              <w:spacing w:line="240" w:lineRule="auto"/>
              <w:jc w:val="center"/>
              <w:rPr>
                <w:rFonts w:eastAsiaTheme="minorEastAsia"/>
                <w:b/>
                <w:bCs/>
                <w:color w:val="000000"/>
                <w:szCs w:val="22"/>
                <w:lang w:val="nl-NL"/>
              </w:rPr>
            </w:pPr>
            <w:r w:rsidRPr="00CD4E37">
              <w:rPr>
                <w:b/>
                <w:bCs/>
                <w:color w:val="000000"/>
                <w:lang w:val="nl-NL"/>
              </w:rPr>
              <w:t>Onderhoud</w:t>
            </w:r>
          </w:p>
        </w:tc>
      </w:tr>
      <w:tr w:rsidR="00285B13" w:rsidRPr="00CD4E37" w14:paraId="345E8E0E" w14:textId="77777777" w:rsidTr="00387A3F">
        <w:trPr>
          <w:trHeight w:val="660"/>
        </w:trPr>
        <w:tc>
          <w:tcPr>
            <w:tcW w:w="1474" w:type="dxa"/>
            <w:vMerge/>
            <w:shd w:val="clear" w:color="auto" w:fill="auto"/>
            <w:noWrap/>
            <w:tcMar>
              <w:top w:w="0" w:type="dxa"/>
              <w:left w:w="108" w:type="dxa"/>
              <w:bottom w:w="0" w:type="dxa"/>
              <w:right w:w="108" w:type="dxa"/>
            </w:tcMar>
            <w:vAlign w:val="center"/>
            <w:hideMark/>
          </w:tcPr>
          <w:p w14:paraId="472F70FA" w14:textId="77777777" w:rsidR="00285B13" w:rsidRPr="00CD4E37" w:rsidRDefault="00285B13" w:rsidP="00387A3F">
            <w:pPr>
              <w:spacing w:line="240" w:lineRule="auto"/>
              <w:jc w:val="center"/>
              <w:rPr>
                <w:color w:val="000000"/>
                <w:lang w:val="nl-NL"/>
              </w:rPr>
            </w:pPr>
          </w:p>
        </w:tc>
        <w:tc>
          <w:tcPr>
            <w:tcW w:w="2211" w:type="dxa"/>
            <w:tcMar>
              <w:top w:w="0" w:type="dxa"/>
              <w:left w:w="108" w:type="dxa"/>
              <w:bottom w:w="0" w:type="dxa"/>
              <w:right w:w="108" w:type="dxa"/>
            </w:tcMar>
            <w:vAlign w:val="center"/>
            <w:hideMark/>
          </w:tcPr>
          <w:p w14:paraId="020E0F20" w14:textId="77777777" w:rsidR="00285B13" w:rsidRPr="00CD4E37" w:rsidRDefault="00285B13" w:rsidP="00387A3F">
            <w:pPr>
              <w:spacing w:line="240" w:lineRule="auto"/>
              <w:jc w:val="center"/>
              <w:rPr>
                <w:b/>
                <w:bCs/>
                <w:color w:val="000000"/>
                <w:lang w:val="nl-NL"/>
              </w:rPr>
            </w:pPr>
            <w:r w:rsidRPr="00CD4E37">
              <w:rPr>
                <w:b/>
                <w:bCs/>
                <w:color w:val="000000"/>
                <w:lang w:val="nl-NL"/>
              </w:rPr>
              <w:t xml:space="preserve">Beginnend op dag 8 </w:t>
            </w:r>
          </w:p>
          <w:p w14:paraId="7066EC1B" w14:textId="5D47BB0F" w:rsidR="00285B13" w:rsidRPr="00CD4E37" w:rsidRDefault="00285B13" w:rsidP="00387A3F">
            <w:pPr>
              <w:spacing w:line="240" w:lineRule="auto"/>
              <w:jc w:val="center"/>
              <w:rPr>
                <w:color w:val="000000"/>
                <w:lang w:val="nl-NL"/>
              </w:rPr>
            </w:pPr>
            <w:r w:rsidRPr="00CD4E37">
              <w:rPr>
                <w:b/>
                <w:bCs/>
                <w:color w:val="000000"/>
                <w:lang w:val="nl-NL"/>
              </w:rPr>
              <w:t>(voor 7 + 3-regime)</w:t>
            </w:r>
            <w:r w:rsidRPr="00CD4E37">
              <w:rPr>
                <w:color w:val="000000"/>
                <w:vertAlign w:val="superscript"/>
                <w:lang w:val="nl-NL"/>
              </w:rPr>
              <w:t>c</w:t>
            </w:r>
          </w:p>
        </w:tc>
        <w:tc>
          <w:tcPr>
            <w:tcW w:w="2211" w:type="dxa"/>
            <w:tcMar>
              <w:top w:w="0" w:type="dxa"/>
              <w:left w:w="108" w:type="dxa"/>
              <w:bottom w:w="0" w:type="dxa"/>
              <w:right w:w="108" w:type="dxa"/>
            </w:tcMar>
            <w:vAlign w:val="center"/>
            <w:hideMark/>
          </w:tcPr>
          <w:p w14:paraId="377CAB77" w14:textId="77777777" w:rsidR="00285B13" w:rsidRPr="00CD4E37" w:rsidRDefault="00285B13" w:rsidP="00387A3F">
            <w:pPr>
              <w:spacing w:line="240" w:lineRule="auto"/>
              <w:jc w:val="center"/>
              <w:rPr>
                <w:b/>
                <w:bCs/>
                <w:color w:val="000000"/>
                <w:lang w:val="nl-NL"/>
              </w:rPr>
            </w:pPr>
            <w:r w:rsidRPr="00CD4E37">
              <w:rPr>
                <w:b/>
                <w:bCs/>
                <w:color w:val="000000"/>
                <w:lang w:val="nl-NL"/>
              </w:rPr>
              <w:t>Beginnend op dag 6</w:t>
            </w:r>
          </w:p>
        </w:tc>
        <w:tc>
          <w:tcPr>
            <w:tcW w:w="3175" w:type="dxa"/>
            <w:tcMar>
              <w:top w:w="0" w:type="dxa"/>
              <w:left w:w="108" w:type="dxa"/>
              <w:bottom w:w="0" w:type="dxa"/>
              <w:right w:w="108" w:type="dxa"/>
            </w:tcMar>
            <w:vAlign w:val="center"/>
            <w:hideMark/>
          </w:tcPr>
          <w:p w14:paraId="44CAD51D" w14:textId="77777777" w:rsidR="00285B13" w:rsidRPr="00CD4E37" w:rsidRDefault="00285B13" w:rsidP="00387A3F">
            <w:pPr>
              <w:spacing w:line="240" w:lineRule="auto"/>
              <w:jc w:val="center"/>
              <w:rPr>
                <w:b/>
                <w:bCs/>
                <w:color w:val="000000"/>
                <w:lang w:val="nl-NL"/>
              </w:rPr>
            </w:pPr>
            <w:r w:rsidRPr="00CD4E37">
              <w:rPr>
                <w:b/>
                <w:bCs/>
                <w:color w:val="000000"/>
                <w:lang w:val="nl-NL"/>
              </w:rPr>
              <w:t>Eerste dag van onderhoudstherapie</w:t>
            </w:r>
          </w:p>
        </w:tc>
      </w:tr>
      <w:tr w:rsidR="00285B13" w:rsidRPr="009C764A" w14:paraId="0EEC21A8" w14:textId="77777777" w:rsidTr="00387A3F">
        <w:trPr>
          <w:trHeight w:val="778"/>
        </w:trPr>
        <w:tc>
          <w:tcPr>
            <w:tcW w:w="1474" w:type="dxa"/>
            <w:noWrap/>
            <w:tcMar>
              <w:top w:w="0" w:type="dxa"/>
              <w:left w:w="108" w:type="dxa"/>
              <w:bottom w:w="0" w:type="dxa"/>
              <w:right w:w="108" w:type="dxa"/>
            </w:tcMar>
            <w:vAlign w:val="center"/>
            <w:hideMark/>
          </w:tcPr>
          <w:p w14:paraId="2A7C84BB" w14:textId="77777777" w:rsidR="00285B13" w:rsidRPr="00CD4E37" w:rsidRDefault="00285B13" w:rsidP="00387A3F">
            <w:pPr>
              <w:spacing w:line="240" w:lineRule="auto"/>
              <w:jc w:val="center"/>
              <w:rPr>
                <w:b/>
                <w:bCs/>
                <w:color w:val="000000"/>
                <w:lang w:val="nl-NL"/>
              </w:rPr>
            </w:pPr>
            <w:r w:rsidRPr="00CD4E37">
              <w:rPr>
                <w:b/>
                <w:bCs/>
                <w:color w:val="000000"/>
                <w:lang w:val="nl-NL"/>
              </w:rPr>
              <w:t>Dosis</w:t>
            </w:r>
          </w:p>
        </w:tc>
        <w:tc>
          <w:tcPr>
            <w:tcW w:w="2211" w:type="dxa"/>
            <w:tcMar>
              <w:top w:w="0" w:type="dxa"/>
              <w:left w:w="108" w:type="dxa"/>
              <w:bottom w:w="0" w:type="dxa"/>
              <w:right w:w="108" w:type="dxa"/>
            </w:tcMar>
            <w:vAlign w:val="center"/>
            <w:hideMark/>
          </w:tcPr>
          <w:p w14:paraId="05FCC504" w14:textId="77777777" w:rsidR="00285B13" w:rsidRPr="00CD4E37" w:rsidRDefault="00285B13" w:rsidP="00387A3F">
            <w:pPr>
              <w:spacing w:line="240" w:lineRule="auto"/>
              <w:jc w:val="center"/>
              <w:rPr>
                <w:color w:val="000000"/>
                <w:lang w:val="nl-NL"/>
              </w:rPr>
            </w:pPr>
            <w:r w:rsidRPr="00CD4E37">
              <w:rPr>
                <w:color w:val="000000"/>
                <w:lang w:val="nl-NL"/>
              </w:rPr>
              <w:t>35,4 mg eenmaal daags</w:t>
            </w:r>
          </w:p>
        </w:tc>
        <w:tc>
          <w:tcPr>
            <w:tcW w:w="2211" w:type="dxa"/>
            <w:tcMar>
              <w:top w:w="0" w:type="dxa"/>
              <w:left w:w="108" w:type="dxa"/>
              <w:bottom w:w="0" w:type="dxa"/>
              <w:right w:w="108" w:type="dxa"/>
            </w:tcMar>
            <w:vAlign w:val="center"/>
            <w:hideMark/>
          </w:tcPr>
          <w:p w14:paraId="4D1EDE14" w14:textId="77777777" w:rsidR="00285B13" w:rsidRPr="00CD4E37" w:rsidRDefault="00285B13" w:rsidP="00387A3F">
            <w:pPr>
              <w:spacing w:line="240" w:lineRule="auto"/>
              <w:jc w:val="center"/>
              <w:rPr>
                <w:color w:val="000000"/>
                <w:lang w:val="nl-NL"/>
              </w:rPr>
            </w:pPr>
            <w:r w:rsidRPr="00CD4E37">
              <w:rPr>
                <w:color w:val="000000"/>
                <w:lang w:val="nl-NL"/>
              </w:rPr>
              <w:t>35,4 mg eenmaal daags</w:t>
            </w:r>
          </w:p>
        </w:tc>
        <w:tc>
          <w:tcPr>
            <w:tcW w:w="3175" w:type="dxa"/>
            <w:tcMar>
              <w:top w:w="0" w:type="dxa"/>
              <w:left w:w="108" w:type="dxa"/>
              <w:bottom w:w="0" w:type="dxa"/>
              <w:right w:w="108" w:type="dxa"/>
            </w:tcMar>
            <w:vAlign w:val="bottom"/>
            <w:hideMark/>
          </w:tcPr>
          <w:p w14:paraId="343A84E0" w14:textId="77777777" w:rsidR="00285B13" w:rsidRPr="00CD4E37" w:rsidRDefault="00285B13" w:rsidP="00387A3F">
            <w:pPr>
              <w:pStyle w:val="Lijstalinea"/>
              <w:numPr>
                <w:ilvl w:val="0"/>
                <w:numId w:val="8"/>
              </w:numPr>
              <w:spacing w:line="256" w:lineRule="auto"/>
              <w:rPr>
                <w:rFonts w:ascii="Times New Roman" w:hAnsi="Times New Roman"/>
                <w:color w:val="000000"/>
                <w:szCs w:val="24"/>
                <w:lang w:val="nl-NL"/>
              </w:rPr>
            </w:pPr>
            <w:r w:rsidRPr="00CD4E37">
              <w:rPr>
                <w:rFonts w:ascii="Times New Roman" w:hAnsi="Times New Roman"/>
                <w:color w:val="000000"/>
                <w:szCs w:val="24"/>
                <w:lang w:val="nl-NL"/>
              </w:rPr>
              <w:t>Aanvangsdosis van 26,5 mg eenmaal daags gedurende twee weken indien QTcF </w:t>
            </w:r>
            <w:r w:rsidRPr="00CD4E37">
              <w:rPr>
                <w:rFonts w:ascii="Times New Roman" w:hAnsi="Times New Roman"/>
                <w:szCs w:val="24"/>
                <w:lang w:val="nl-NL"/>
              </w:rPr>
              <w:t>≤ 450 ms is.</w:t>
            </w:r>
          </w:p>
          <w:p w14:paraId="44085686" w14:textId="77777777" w:rsidR="00285B13" w:rsidRPr="00CD4E37" w:rsidRDefault="00285B13" w:rsidP="00387A3F">
            <w:pPr>
              <w:pStyle w:val="Lijstalinea"/>
              <w:numPr>
                <w:ilvl w:val="0"/>
                <w:numId w:val="8"/>
              </w:numPr>
              <w:spacing w:after="0" w:line="240" w:lineRule="auto"/>
              <w:rPr>
                <w:rFonts w:ascii="Times New Roman" w:hAnsi="Times New Roman"/>
                <w:color w:val="000000"/>
                <w:lang w:val="nl-NL"/>
              </w:rPr>
            </w:pPr>
            <w:r w:rsidRPr="00CD4E37">
              <w:rPr>
                <w:rFonts w:ascii="Times New Roman" w:hAnsi="Times New Roman"/>
                <w:color w:val="000000"/>
                <w:szCs w:val="24"/>
                <w:lang w:val="nl-NL"/>
              </w:rPr>
              <w:t>Na twee weken, indien QTcF </w:t>
            </w:r>
            <w:r w:rsidRPr="00CD4E37">
              <w:rPr>
                <w:rFonts w:ascii="Times New Roman" w:hAnsi="Times New Roman"/>
                <w:szCs w:val="24"/>
                <w:lang w:val="nl-NL"/>
              </w:rPr>
              <w:t>≤ 450 ms is,</w:t>
            </w:r>
            <w:r w:rsidRPr="00CD4E37">
              <w:rPr>
                <w:rFonts w:ascii="Times New Roman" w:hAnsi="Times New Roman"/>
                <w:color w:val="000000"/>
                <w:szCs w:val="24"/>
                <w:lang w:val="nl-NL"/>
              </w:rPr>
              <w:t xml:space="preserve"> dient de dosis te worden verhoogd tot 53 mg eenmaal daags.</w:t>
            </w:r>
          </w:p>
        </w:tc>
      </w:tr>
      <w:tr w:rsidR="00285B13" w:rsidRPr="009C764A" w14:paraId="6B679AD6" w14:textId="77777777" w:rsidTr="00387A3F">
        <w:trPr>
          <w:trHeight w:val="518"/>
        </w:trPr>
        <w:tc>
          <w:tcPr>
            <w:tcW w:w="1474" w:type="dxa"/>
            <w:noWrap/>
            <w:tcMar>
              <w:top w:w="0" w:type="dxa"/>
              <w:left w:w="108" w:type="dxa"/>
              <w:bottom w:w="0" w:type="dxa"/>
              <w:right w:w="108" w:type="dxa"/>
            </w:tcMar>
            <w:vAlign w:val="center"/>
            <w:hideMark/>
          </w:tcPr>
          <w:p w14:paraId="13D3EEBE" w14:textId="77777777" w:rsidR="00285B13" w:rsidRPr="00CD4E37" w:rsidRDefault="00285B13" w:rsidP="00387A3F">
            <w:pPr>
              <w:spacing w:line="240" w:lineRule="auto"/>
              <w:jc w:val="center"/>
              <w:rPr>
                <w:b/>
                <w:bCs/>
                <w:color w:val="000000"/>
                <w:lang w:val="nl-NL"/>
              </w:rPr>
            </w:pPr>
            <w:r w:rsidRPr="00CD4E37">
              <w:rPr>
                <w:b/>
                <w:bCs/>
                <w:color w:val="000000"/>
                <w:lang w:val="nl-NL"/>
              </w:rPr>
              <w:t>Duur</w:t>
            </w:r>
          </w:p>
          <w:p w14:paraId="447AB827" w14:textId="77777777" w:rsidR="00285B13" w:rsidRPr="00CD4E37" w:rsidRDefault="00285B13" w:rsidP="00387A3F">
            <w:pPr>
              <w:spacing w:line="240" w:lineRule="auto"/>
              <w:jc w:val="center"/>
              <w:rPr>
                <w:color w:val="000000"/>
                <w:lang w:val="nl-NL"/>
              </w:rPr>
            </w:pPr>
            <w:r w:rsidRPr="00CD4E37">
              <w:rPr>
                <w:b/>
                <w:bCs/>
                <w:color w:val="000000"/>
                <w:lang w:val="nl-NL"/>
              </w:rPr>
              <w:t>(cycli van 28 dagen)</w:t>
            </w:r>
          </w:p>
        </w:tc>
        <w:tc>
          <w:tcPr>
            <w:tcW w:w="2211" w:type="dxa"/>
            <w:tcMar>
              <w:top w:w="0" w:type="dxa"/>
              <w:left w:w="108" w:type="dxa"/>
              <w:bottom w:w="0" w:type="dxa"/>
              <w:right w:w="108" w:type="dxa"/>
            </w:tcMar>
            <w:vAlign w:val="center"/>
            <w:hideMark/>
          </w:tcPr>
          <w:p w14:paraId="32F794CC" w14:textId="77777777" w:rsidR="00285B13" w:rsidRPr="00CD4E37" w:rsidRDefault="00285B13" w:rsidP="00387A3F">
            <w:pPr>
              <w:spacing w:line="240" w:lineRule="auto"/>
              <w:jc w:val="center"/>
              <w:rPr>
                <w:color w:val="000000"/>
                <w:lang w:val="nl-NL"/>
              </w:rPr>
            </w:pPr>
            <w:r w:rsidRPr="00CD4E37">
              <w:rPr>
                <w:color w:val="000000"/>
                <w:lang w:val="nl-NL"/>
              </w:rPr>
              <w:t>Twee weken in elke cyclus</w:t>
            </w:r>
          </w:p>
        </w:tc>
        <w:tc>
          <w:tcPr>
            <w:tcW w:w="2211" w:type="dxa"/>
            <w:tcMar>
              <w:top w:w="0" w:type="dxa"/>
              <w:left w:w="108" w:type="dxa"/>
              <w:bottom w:w="0" w:type="dxa"/>
              <w:right w:w="108" w:type="dxa"/>
            </w:tcMar>
            <w:vAlign w:val="center"/>
            <w:hideMark/>
          </w:tcPr>
          <w:p w14:paraId="5F142DC6" w14:textId="77777777" w:rsidR="00285B13" w:rsidRPr="00CD4E37" w:rsidRDefault="00285B13" w:rsidP="00387A3F">
            <w:pPr>
              <w:spacing w:line="240" w:lineRule="auto"/>
              <w:jc w:val="center"/>
              <w:rPr>
                <w:color w:val="000000"/>
                <w:lang w:val="nl-NL"/>
              </w:rPr>
            </w:pPr>
            <w:r w:rsidRPr="00CD4E37">
              <w:rPr>
                <w:color w:val="000000"/>
                <w:lang w:val="nl-NL"/>
              </w:rPr>
              <w:t>Twee weken in elke cyclus</w:t>
            </w:r>
          </w:p>
        </w:tc>
        <w:tc>
          <w:tcPr>
            <w:tcW w:w="3175" w:type="dxa"/>
            <w:tcMar>
              <w:top w:w="0" w:type="dxa"/>
              <w:left w:w="108" w:type="dxa"/>
              <w:bottom w:w="0" w:type="dxa"/>
              <w:right w:w="108" w:type="dxa"/>
            </w:tcMar>
            <w:vAlign w:val="center"/>
            <w:hideMark/>
          </w:tcPr>
          <w:p w14:paraId="242CF2B4" w14:textId="77777777" w:rsidR="00285B13" w:rsidRPr="00CD4E37" w:rsidRDefault="00285B13" w:rsidP="00387A3F">
            <w:pPr>
              <w:spacing w:line="240" w:lineRule="auto"/>
              <w:jc w:val="center"/>
              <w:rPr>
                <w:color w:val="000000"/>
                <w:lang w:val="nl-NL"/>
              </w:rPr>
            </w:pPr>
            <w:r w:rsidRPr="00CD4E37">
              <w:rPr>
                <w:color w:val="000000"/>
                <w:lang w:val="nl-NL"/>
              </w:rPr>
              <w:t>Eenmaal daags zonder onderbreking tussen de cycli gedurende maximaal 36 cycli.</w:t>
            </w:r>
          </w:p>
        </w:tc>
      </w:tr>
    </w:tbl>
    <w:p w14:paraId="00ABED78"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a</w:t>
      </w:r>
      <w:r w:rsidRPr="00CD4E37">
        <w:rPr>
          <w:sz w:val="20"/>
          <w:lang w:val="nl-NL"/>
        </w:rPr>
        <w:tab/>
        <w:t>Patiënten kunnen maximaal 2 cycli inductietherapie krijgen.</w:t>
      </w:r>
    </w:p>
    <w:p w14:paraId="5EC1D375"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b</w:t>
      </w:r>
      <w:r w:rsidRPr="00CD4E37">
        <w:rPr>
          <w:sz w:val="20"/>
          <w:lang w:val="nl-NL"/>
        </w:rPr>
        <w:tab/>
        <w:t>Patiënten kunnen maximaal 4 cycli consolidatietherapie krijgen.</w:t>
      </w:r>
    </w:p>
    <w:p w14:paraId="4CDA188E"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c</w:t>
      </w:r>
      <w:r w:rsidRPr="00CD4E37">
        <w:rPr>
          <w:sz w:val="20"/>
          <w:lang w:val="nl-NL"/>
        </w:rPr>
        <w:tab/>
        <w:t>Bij een 5</w:t>
      </w:r>
      <w:r w:rsidRPr="00CD4E37">
        <w:rPr>
          <w:color w:val="000000"/>
          <w:sz w:val="20"/>
          <w:lang w:val="nl-NL"/>
        </w:rPr>
        <w:t> </w:t>
      </w:r>
      <w:r w:rsidRPr="00CD4E37">
        <w:rPr>
          <w:sz w:val="20"/>
          <w:lang w:val="nl-NL"/>
        </w:rPr>
        <w:t>+</w:t>
      </w:r>
      <w:r w:rsidRPr="00CD4E37">
        <w:rPr>
          <w:color w:val="000000"/>
          <w:sz w:val="20"/>
          <w:lang w:val="nl-NL"/>
        </w:rPr>
        <w:t> </w:t>
      </w:r>
      <w:r w:rsidRPr="00CD4E37">
        <w:rPr>
          <w:sz w:val="20"/>
          <w:lang w:val="nl-NL"/>
        </w:rPr>
        <w:t>2-regime als tweede inductiecyclus begint de behandeling met VANFLYTA op dag 6.</w:t>
      </w:r>
    </w:p>
    <w:p w14:paraId="65ECD7D9" w14:textId="77777777" w:rsidR="00285B13" w:rsidRPr="00CD4E37" w:rsidRDefault="00285B13" w:rsidP="00891282">
      <w:pPr>
        <w:tabs>
          <w:tab w:val="clear" w:pos="567"/>
        </w:tabs>
        <w:spacing w:line="240" w:lineRule="auto"/>
        <w:rPr>
          <w:szCs w:val="22"/>
          <w:lang w:val="nl-NL"/>
        </w:rPr>
      </w:pPr>
    </w:p>
    <w:p w14:paraId="4A219EFC" w14:textId="77777777" w:rsidR="00285B13" w:rsidRPr="00CD4E37" w:rsidRDefault="00285B13" w:rsidP="00891282">
      <w:pPr>
        <w:keepNext/>
        <w:tabs>
          <w:tab w:val="clear" w:pos="567"/>
        </w:tabs>
        <w:spacing w:line="240" w:lineRule="auto"/>
        <w:rPr>
          <w:i/>
          <w:iCs/>
          <w:szCs w:val="22"/>
          <w:lang w:val="nl-NL"/>
        </w:rPr>
      </w:pPr>
      <w:bookmarkStart w:id="4" w:name="_Hlk94085734"/>
      <w:r w:rsidRPr="00CD4E37">
        <w:rPr>
          <w:i/>
          <w:iCs/>
          <w:szCs w:val="22"/>
          <w:lang w:val="nl-NL"/>
        </w:rPr>
        <w:t>Hematopoëtische stamceltransplantatie</w:t>
      </w:r>
    </w:p>
    <w:p w14:paraId="06DD0CC1" w14:textId="77777777" w:rsidR="00285B13" w:rsidRPr="00CD4E37" w:rsidRDefault="00285B13" w:rsidP="00891282">
      <w:pPr>
        <w:tabs>
          <w:tab w:val="clear" w:pos="567"/>
        </w:tabs>
        <w:spacing w:line="240" w:lineRule="auto"/>
        <w:rPr>
          <w:szCs w:val="22"/>
          <w:lang w:val="nl-NL"/>
        </w:rPr>
      </w:pPr>
      <w:r w:rsidRPr="00CD4E37">
        <w:rPr>
          <w:szCs w:val="22"/>
          <w:lang w:val="nl-NL"/>
        </w:rPr>
        <w:t>Voor patiënten die overgaan op hematopoëtische stamceltransplantatie (HSCT), moet de behandeling met VANFLYTA 7</w:t>
      </w:r>
      <w:r w:rsidRPr="00CD4E37">
        <w:rPr>
          <w:rStyle w:val="Verwijzingopmerking"/>
          <w:sz w:val="22"/>
          <w:lang w:val="nl-NL"/>
        </w:rPr>
        <w:t> </w:t>
      </w:r>
      <w:r w:rsidRPr="00CD4E37">
        <w:rPr>
          <w:szCs w:val="22"/>
          <w:lang w:val="nl-NL"/>
        </w:rPr>
        <w:t xml:space="preserve">dagen vóór het begin van een conditioneringsschema worden gestaakt. Deze kan na afloop van de transplantatie worden hervat, afhankelijk van het aantal witte bloedcellen en naar het oordeel van de behandelend arts, voor patiënten die hematologisch voldoende hersteld zijn en met </w:t>
      </w:r>
      <w:r w:rsidRPr="00CD4E37">
        <w:rPr>
          <w:i/>
          <w:iCs/>
          <w:szCs w:val="22"/>
          <w:lang w:val="nl-NL"/>
        </w:rPr>
        <w:t>graft-versus-host</w:t>
      </w:r>
      <w:r w:rsidRPr="00CD4E37">
        <w:rPr>
          <w:szCs w:val="22"/>
          <w:lang w:val="nl-NL"/>
        </w:rPr>
        <w:t>ziekte (GVHD) ≤ graad 2, bij wie niet binnen 21 dagen een nieuwe systemische GVHD-therapie moet worden gestart, overeenkomstig de hierboven vermelde doseringsaanbevelingen.</w:t>
      </w:r>
    </w:p>
    <w:bookmarkEnd w:id="4"/>
    <w:p w14:paraId="693F0E78" w14:textId="77777777" w:rsidR="00285B13" w:rsidRPr="00CD4E37" w:rsidRDefault="00285B13" w:rsidP="00891282">
      <w:pPr>
        <w:tabs>
          <w:tab w:val="clear" w:pos="567"/>
        </w:tabs>
        <w:spacing w:line="240" w:lineRule="auto"/>
        <w:rPr>
          <w:szCs w:val="22"/>
          <w:lang w:val="nl-NL"/>
        </w:rPr>
      </w:pPr>
    </w:p>
    <w:p w14:paraId="331B00F0" w14:textId="77777777" w:rsidR="00285B13" w:rsidRPr="00CD4E37" w:rsidRDefault="00285B13" w:rsidP="00891282">
      <w:pPr>
        <w:keepNext/>
        <w:tabs>
          <w:tab w:val="clear" w:pos="567"/>
        </w:tabs>
        <w:spacing w:line="240" w:lineRule="auto"/>
        <w:rPr>
          <w:lang w:val="nl-NL"/>
        </w:rPr>
      </w:pPr>
      <w:r w:rsidRPr="00CD4E37">
        <w:rPr>
          <w:i/>
          <w:iCs/>
          <w:szCs w:val="22"/>
          <w:lang w:val="nl-NL"/>
        </w:rPr>
        <w:t>Dosisaanpassingen</w:t>
      </w:r>
    </w:p>
    <w:p w14:paraId="2DFFCDE2" w14:textId="77777777" w:rsidR="00285B13" w:rsidRPr="00CD4E37" w:rsidRDefault="00285B13" w:rsidP="00891282">
      <w:pPr>
        <w:tabs>
          <w:tab w:val="clear" w:pos="567"/>
        </w:tabs>
        <w:spacing w:line="240" w:lineRule="auto"/>
        <w:rPr>
          <w:rFonts w:cstheme="minorHAnsi"/>
          <w:szCs w:val="24"/>
          <w:lang w:val="nl-NL"/>
        </w:rPr>
      </w:pPr>
      <w:r w:rsidRPr="00CD4E37">
        <w:rPr>
          <w:rFonts w:cstheme="minorHAnsi"/>
          <w:szCs w:val="24"/>
          <w:lang w:val="nl-NL"/>
        </w:rPr>
        <w:t>VANFLYTA mag alleen worden ingesteld indien QTcF ≤ 450 ms is (zie rubriek 4.4).</w:t>
      </w:r>
    </w:p>
    <w:p w14:paraId="498A10A5" w14:textId="77777777" w:rsidR="00285B13" w:rsidRPr="00CD4E37" w:rsidRDefault="00285B13" w:rsidP="00891282">
      <w:pPr>
        <w:tabs>
          <w:tab w:val="clear" w:pos="567"/>
        </w:tabs>
        <w:spacing w:line="240" w:lineRule="auto"/>
        <w:rPr>
          <w:szCs w:val="22"/>
          <w:lang w:val="nl-NL"/>
        </w:rPr>
      </w:pPr>
    </w:p>
    <w:p w14:paraId="50AD76F6" w14:textId="77777777" w:rsidR="00285B13" w:rsidRPr="00CD4E37" w:rsidRDefault="00285B13" w:rsidP="00891282">
      <w:pPr>
        <w:tabs>
          <w:tab w:val="clear" w:pos="567"/>
        </w:tabs>
        <w:spacing w:line="240" w:lineRule="auto"/>
        <w:rPr>
          <w:szCs w:val="22"/>
          <w:lang w:val="nl-NL"/>
        </w:rPr>
      </w:pPr>
      <w:r w:rsidRPr="00CD4E37">
        <w:rPr>
          <w:szCs w:val="22"/>
          <w:lang w:val="nl-NL"/>
        </w:rPr>
        <w:t xml:space="preserve">Zie tabel 2 voor aanbevolen dosisaanpassingen vanwege bijwerkingen. </w:t>
      </w:r>
      <w:bookmarkStart w:id="5" w:name="_Hlk94091388"/>
      <w:r w:rsidRPr="00CD4E37">
        <w:rPr>
          <w:szCs w:val="22"/>
          <w:lang w:val="nl-NL"/>
        </w:rPr>
        <w:t>Zie tabel 3 voor dosisaanpassingen vanwege bijwerkingen en/of gelijktijdig gebruik met sterke CYP3A-remmers.</w:t>
      </w:r>
    </w:p>
    <w:bookmarkEnd w:id="5"/>
    <w:p w14:paraId="29B9A039" w14:textId="77777777" w:rsidR="00285B13" w:rsidRPr="00CD4E37" w:rsidRDefault="00285B13" w:rsidP="00891282">
      <w:pPr>
        <w:tabs>
          <w:tab w:val="clear" w:pos="567"/>
        </w:tabs>
        <w:spacing w:line="240" w:lineRule="auto"/>
        <w:rPr>
          <w:szCs w:val="22"/>
          <w:lang w:val="nl-NL"/>
        </w:rPr>
      </w:pPr>
    </w:p>
    <w:p w14:paraId="514470EA" w14:textId="77777777" w:rsidR="00285B13" w:rsidRPr="00CD4E37" w:rsidRDefault="00285B13" w:rsidP="00891282">
      <w:pPr>
        <w:keepNext/>
        <w:tabs>
          <w:tab w:val="clear" w:pos="567"/>
        </w:tabs>
        <w:spacing w:line="240" w:lineRule="auto"/>
        <w:rPr>
          <w:b/>
          <w:szCs w:val="22"/>
          <w:lang w:val="nl-NL"/>
        </w:rPr>
      </w:pPr>
      <w:r w:rsidRPr="00CD4E37">
        <w:rPr>
          <w:b/>
          <w:bCs/>
          <w:szCs w:val="22"/>
          <w:lang w:val="nl-NL"/>
        </w:rPr>
        <w:lastRenderedPageBreak/>
        <w:t>Tabel 2: Aanbevolen dosisaanpassingen vanwege bijwerkingen</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576"/>
      </w:tblGrid>
      <w:tr w:rsidR="00285B13" w:rsidRPr="00CD4E37" w14:paraId="635B1D35" w14:textId="77777777" w:rsidTr="00BE5247">
        <w:trPr>
          <w:cantSplit/>
          <w:tblHeader/>
          <w:jc w:val="center"/>
        </w:trPr>
        <w:tc>
          <w:tcPr>
            <w:tcW w:w="2494" w:type="dxa"/>
            <w:shd w:val="clear" w:color="auto" w:fill="auto"/>
          </w:tcPr>
          <w:p w14:paraId="49ACA26A" w14:textId="77777777" w:rsidR="00285B13" w:rsidRPr="00CD4E37" w:rsidRDefault="00285B13" w:rsidP="0015597A">
            <w:pPr>
              <w:keepNext/>
              <w:spacing w:line="240" w:lineRule="auto"/>
              <w:jc w:val="center"/>
              <w:rPr>
                <w:b/>
                <w:szCs w:val="22"/>
                <w:lang w:val="nl-NL"/>
              </w:rPr>
            </w:pPr>
            <w:bookmarkStart w:id="6" w:name="_Hlk82629668"/>
            <w:r w:rsidRPr="00CD4E37">
              <w:rPr>
                <w:b/>
                <w:bCs/>
                <w:szCs w:val="22"/>
                <w:lang w:val="nl-NL"/>
              </w:rPr>
              <w:t>Bijwerking</w:t>
            </w:r>
          </w:p>
        </w:tc>
        <w:tc>
          <w:tcPr>
            <w:tcW w:w="6576" w:type="dxa"/>
            <w:shd w:val="clear" w:color="auto" w:fill="auto"/>
          </w:tcPr>
          <w:p w14:paraId="7EDF9B70" w14:textId="77777777" w:rsidR="00285B13" w:rsidRPr="00CD4E37" w:rsidRDefault="00285B13" w:rsidP="00387A3F">
            <w:pPr>
              <w:spacing w:line="240" w:lineRule="auto"/>
              <w:jc w:val="center"/>
              <w:rPr>
                <w:b/>
                <w:szCs w:val="22"/>
                <w:lang w:val="nl-NL"/>
              </w:rPr>
            </w:pPr>
            <w:r w:rsidRPr="00CD4E37">
              <w:rPr>
                <w:b/>
                <w:bCs/>
                <w:szCs w:val="22"/>
                <w:lang w:val="nl-NL"/>
              </w:rPr>
              <w:t>Aanbevolen maatregel</w:t>
            </w:r>
          </w:p>
        </w:tc>
      </w:tr>
      <w:tr w:rsidR="00285B13" w:rsidRPr="00CD4E37" w14:paraId="1003E785" w14:textId="77777777" w:rsidTr="00387A3F">
        <w:trPr>
          <w:cantSplit/>
          <w:trHeight w:val="510"/>
          <w:jc w:val="center"/>
        </w:trPr>
        <w:tc>
          <w:tcPr>
            <w:tcW w:w="2494" w:type="dxa"/>
            <w:shd w:val="clear" w:color="auto" w:fill="auto"/>
          </w:tcPr>
          <w:p w14:paraId="397C6E78" w14:textId="77777777" w:rsidR="00285B13" w:rsidRPr="00CD4E37" w:rsidRDefault="00285B13" w:rsidP="00BE5247">
            <w:pPr>
              <w:spacing w:line="240" w:lineRule="auto"/>
              <w:rPr>
                <w:szCs w:val="22"/>
                <w:lang w:val="nl-NL"/>
              </w:rPr>
            </w:pPr>
            <w:r w:rsidRPr="00CD4E37">
              <w:rPr>
                <w:szCs w:val="22"/>
                <w:lang w:val="nl-NL"/>
              </w:rPr>
              <w:t>QTcF 450-480 ms</w:t>
            </w:r>
          </w:p>
          <w:p w14:paraId="75A6C0DD" w14:textId="77777777" w:rsidR="00285B13" w:rsidRPr="00CD4E37" w:rsidRDefault="00285B13" w:rsidP="00BE5247">
            <w:pPr>
              <w:spacing w:line="240" w:lineRule="auto"/>
              <w:rPr>
                <w:szCs w:val="22"/>
                <w:lang w:val="nl-NL"/>
              </w:rPr>
            </w:pPr>
            <w:r w:rsidRPr="00CD4E37">
              <w:rPr>
                <w:szCs w:val="22"/>
                <w:lang w:val="nl-NL"/>
              </w:rPr>
              <w:t>(graad 1)</w:t>
            </w:r>
          </w:p>
        </w:tc>
        <w:tc>
          <w:tcPr>
            <w:tcW w:w="6576" w:type="dxa"/>
            <w:shd w:val="clear" w:color="auto" w:fill="auto"/>
          </w:tcPr>
          <w:p w14:paraId="1941E53C" w14:textId="77777777" w:rsidR="00285B13" w:rsidRPr="00CD4E37" w:rsidRDefault="00285B13" w:rsidP="00BE5247">
            <w:pPr>
              <w:numPr>
                <w:ilvl w:val="0"/>
                <w:numId w:val="6"/>
              </w:numPr>
              <w:tabs>
                <w:tab w:val="clear" w:pos="567"/>
              </w:tabs>
              <w:spacing w:line="240" w:lineRule="auto"/>
              <w:contextualSpacing/>
              <w:rPr>
                <w:szCs w:val="22"/>
                <w:lang w:val="nl-NL"/>
              </w:rPr>
            </w:pPr>
            <w:r w:rsidRPr="00CD4E37">
              <w:rPr>
                <w:szCs w:val="22"/>
                <w:lang w:val="nl-NL"/>
              </w:rPr>
              <w:t>Dosis VANFLYTA voortzetten.</w:t>
            </w:r>
          </w:p>
        </w:tc>
      </w:tr>
      <w:tr w:rsidR="00285B13" w:rsidRPr="009C764A" w14:paraId="6A635F72" w14:textId="77777777" w:rsidTr="00387A3F">
        <w:trPr>
          <w:cantSplit/>
          <w:trHeight w:val="737"/>
          <w:jc w:val="center"/>
        </w:trPr>
        <w:tc>
          <w:tcPr>
            <w:tcW w:w="2494" w:type="dxa"/>
            <w:shd w:val="clear" w:color="auto" w:fill="auto"/>
          </w:tcPr>
          <w:p w14:paraId="00D5A00E" w14:textId="77777777" w:rsidR="00285B13" w:rsidRPr="00CD4E37" w:rsidRDefault="00285B13" w:rsidP="00BE5247">
            <w:pPr>
              <w:spacing w:line="240" w:lineRule="auto"/>
              <w:rPr>
                <w:szCs w:val="22"/>
                <w:lang w:val="nl-NL"/>
              </w:rPr>
            </w:pPr>
            <w:bookmarkStart w:id="7" w:name="_Hlk94093222"/>
            <w:r w:rsidRPr="00CD4E37">
              <w:rPr>
                <w:szCs w:val="22"/>
                <w:lang w:val="nl-NL"/>
              </w:rPr>
              <w:t>QTcF 481-500 ms</w:t>
            </w:r>
          </w:p>
          <w:p w14:paraId="1E69D82F" w14:textId="77777777" w:rsidR="00285B13" w:rsidRPr="00CD4E37" w:rsidRDefault="00285B13" w:rsidP="00BE5247">
            <w:pPr>
              <w:spacing w:line="240" w:lineRule="auto"/>
              <w:rPr>
                <w:szCs w:val="22"/>
                <w:lang w:val="nl-NL"/>
              </w:rPr>
            </w:pPr>
            <w:r w:rsidRPr="00CD4E37">
              <w:rPr>
                <w:szCs w:val="22"/>
                <w:lang w:val="nl-NL"/>
              </w:rPr>
              <w:t>(graad 2)</w:t>
            </w:r>
            <w:bookmarkEnd w:id="7"/>
          </w:p>
        </w:tc>
        <w:tc>
          <w:tcPr>
            <w:tcW w:w="6576" w:type="dxa"/>
            <w:shd w:val="clear" w:color="auto" w:fill="auto"/>
          </w:tcPr>
          <w:p w14:paraId="5D974529" w14:textId="77777777" w:rsidR="00285B13" w:rsidRPr="00CD4E37" w:rsidRDefault="00285B13" w:rsidP="00BE5247">
            <w:pPr>
              <w:numPr>
                <w:ilvl w:val="0"/>
                <w:numId w:val="6"/>
              </w:numPr>
              <w:tabs>
                <w:tab w:val="clear" w:pos="567"/>
              </w:tabs>
              <w:spacing w:line="240" w:lineRule="auto"/>
              <w:contextualSpacing/>
              <w:rPr>
                <w:szCs w:val="22"/>
                <w:lang w:val="nl-NL"/>
              </w:rPr>
            </w:pPr>
            <w:r w:rsidRPr="00CD4E37">
              <w:rPr>
                <w:szCs w:val="22"/>
                <w:lang w:val="nl-NL"/>
              </w:rPr>
              <w:t>Dosis VANFLYTA verlagen (zie tabel 3), zonder onderbreking.</w:t>
            </w:r>
          </w:p>
          <w:p w14:paraId="0F45232E" w14:textId="77777777" w:rsidR="00285B13" w:rsidRPr="00CD4E37" w:rsidRDefault="00285B13" w:rsidP="00BE5247">
            <w:pPr>
              <w:numPr>
                <w:ilvl w:val="0"/>
                <w:numId w:val="6"/>
              </w:numPr>
              <w:tabs>
                <w:tab w:val="clear" w:pos="567"/>
              </w:tabs>
              <w:spacing w:line="240" w:lineRule="auto"/>
              <w:contextualSpacing/>
              <w:rPr>
                <w:szCs w:val="22"/>
                <w:lang w:val="nl-NL"/>
              </w:rPr>
            </w:pPr>
            <w:r w:rsidRPr="00CD4E37">
              <w:rPr>
                <w:szCs w:val="24"/>
                <w:lang w:val="nl-NL"/>
              </w:rPr>
              <w:t>Behandeling met VANFLYTA in de volgende cyclus hervatten met de eerdere dosis indien QTcF is afgenomen tot &lt; 450 ms.</w:t>
            </w:r>
            <w:r w:rsidRPr="00CD4E37">
              <w:rPr>
                <w:rStyle w:val="Verwijzingopmerking"/>
                <w:rFonts w:cs="Arial"/>
                <w:szCs w:val="22"/>
                <w:lang w:val="nl-NL"/>
              </w:rPr>
              <w:t xml:space="preserve"> </w:t>
            </w:r>
            <w:r w:rsidRPr="00CD4E37">
              <w:rPr>
                <w:szCs w:val="24"/>
                <w:lang w:val="nl-NL"/>
              </w:rPr>
              <w:t>De patiënt gedurende de eerste cyclus met de verhoogde dosis nauwgezet controleren op verlenging van het QT-interval.</w:t>
            </w:r>
          </w:p>
        </w:tc>
      </w:tr>
      <w:tr w:rsidR="00285B13" w:rsidRPr="00762E52" w14:paraId="179AB3BC" w14:textId="77777777" w:rsidTr="00387A3F">
        <w:trPr>
          <w:cantSplit/>
          <w:jc w:val="center"/>
        </w:trPr>
        <w:tc>
          <w:tcPr>
            <w:tcW w:w="2494" w:type="dxa"/>
            <w:shd w:val="clear" w:color="auto" w:fill="auto"/>
          </w:tcPr>
          <w:p w14:paraId="01517A0D" w14:textId="77777777" w:rsidR="00285B13" w:rsidRPr="00CD4E37" w:rsidRDefault="00285B13" w:rsidP="00387A3F">
            <w:pPr>
              <w:spacing w:line="240" w:lineRule="auto"/>
              <w:rPr>
                <w:szCs w:val="22"/>
                <w:lang w:val="nl-NL"/>
              </w:rPr>
            </w:pPr>
            <w:bookmarkStart w:id="8" w:name="_Hlk94093335"/>
            <w:r w:rsidRPr="00CD4E37">
              <w:rPr>
                <w:szCs w:val="22"/>
                <w:lang w:val="nl-NL"/>
              </w:rPr>
              <w:t>QTcF ≥ 501 ms</w:t>
            </w:r>
          </w:p>
          <w:p w14:paraId="2DC3EBD6" w14:textId="77777777" w:rsidR="00285B13" w:rsidRPr="00CD4E37" w:rsidRDefault="00285B13" w:rsidP="00387A3F">
            <w:pPr>
              <w:spacing w:line="240" w:lineRule="auto"/>
              <w:rPr>
                <w:szCs w:val="22"/>
                <w:lang w:val="nl-NL"/>
              </w:rPr>
            </w:pPr>
            <w:r w:rsidRPr="00CD4E37">
              <w:rPr>
                <w:szCs w:val="22"/>
                <w:lang w:val="nl-NL"/>
              </w:rPr>
              <w:t>(graad 3)</w:t>
            </w:r>
            <w:bookmarkEnd w:id="8"/>
          </w:p>
        </w:tc>
        <w:tc>
          <w:tcPr>
            <w:tcW w:w="6576" w:type="dxa"/>
            <w:shd w:val="clear" w:color="auto" w:fill="auto"/>
          </w:tcPr>
          <w:p w14:paraId="503B438A" w14:textId="77777777" w:rsidR="00285B13" w:rsidRPr="00CD4E37" w:rsidRDefault="00285B13" w:rsidP="00387A3F">
            <w:pPr>
              <w:numPr>
                <w:ilvl w:val="0"/>
                <w:numId w:val="6"/>
              </w:numPr>
              <w:tabs>
                <w:tab w:val="clear" w:pos="567"/>
              </w:tabs>
              <w:spacing w:line="240" w:lineRule="auto"/>
              <w:contextualSpacing/>
              <w:rPr>
                <w:szCs w:val="22"/>
                <w:lang w:val="nl-NL"/>
              </w:rPr>
            </w:pPr>
            <w:r w:rsidRPr="00CD4E37">
              <w:rPr>
                <w:szCs w:val="24"/>
                <w:lang w:val="nl-NL"/>
              </w:rPr>
              <w:t>Behandeling met</w:t>
            </w:r>
            <w:r w:rsidRPr="00CD4E37">
              <w:rPr>
                <w:szCs w:val="22"/>
                <w:lang w:val="nl-NL"/>
              </w:rPr>
              <w:t xml:space="preserve"> VANFLYTA onderbreken.</w:t>
            </w:r>
          </w:p>
          <w:p w14:paraId="0C9ADF76" w14:textId="77777777" w:rsidR="00285B13" w:rsidRPr="00CD4E37" w:rsidRDefault="00285B13" w:rsidP="00387A3F">
            <w:pPr>
              <w:numPr>
                <w:ilvl w:val="0"/>
                <w:numId w:val="6"/>
              </w:numPr>
              <w:tabs>
                <w:tab w:val="clear" w:pos="567"/>
              </w:tabs>
              <w:spacing w:line="240" w:lineRule="auto"/>
              <w:contextualSpacing/>
              <w:rPr>
                <w:szCs w:val="22"/>
                <w:lang w:val="nl-NL"/>
              </w:rPr>
            </w:pPr>
            <w:r w:rsidRPr="00CD4E37">
              <w:rPr>
                <w:szCs w:val="22"/>
                <w:lang w:val="nl-NL"/>
              </w:rPr>
              <w:t>De behandeling met VANFLYTA hervatten met een verlaagde dosis (zie tabel 3) wanneer QTcF weer &lt; 450 ms is.</w:t>
            </w:r>
          </w:p>
          <w:p w14:paraId="2C7B7741" w14:textId="23E009A4" w:rsidR="00285B13" w:rsidRPr="00CD4E37" w:rsidRDefault="00285B13" w:rsidP="00387A3F">
            <w:pPr>
              <w:numPr>
                <w:ilvl w:val="0"/>
                <w:numId w:val="6"/>
              </w:numPr>
              <w:tabs>
                <w:tab w:val="clear" w:pos="567"/>
              </w:tabs>
              <w:spacing w:line="240" w:lineRule="auto"/>
              <w:contextualSpacing/>
              <w:rPr>
                <w:szCs w:val="22"/>
                <w:lang w:val="nl-NL"/>
              </w:rPr>
            </w:pPr>
            <w:r w:rsidRPr="00CD4E37">
              <w:rPr>
                <w:szCs w:val="24"/>
                <w:lang w:val="nl-NL"/>
              </w:rPr>
              <w:t xml:space="preserve">De dosis niet verhogen tot 53 mg eenmaal daags tijdens </w:t>
            </w:r>
            <w:r w:rsidRPr="00CD4E37">
              <w:rPr>
                <w:color w:val="000000"/>
                <w:lang w:val="nl-NL"/>
              </w:rPr>
              <w:t>onderhoudstherapie</w:t>
            </w:r>
            <w:r w:rsidRPr="00CD4E37">
              <w:rPr>
                <w:szCs w:val="24"/>
                <w:lang w:val="nl-NL"/>
              </w:rPr>
              <w:t xml:space="preserve"> indien QTcF &gt; 500 ms </w:t>
            </w:r>
            <w:r w:rsidR="00762E52">
              <w:rPr>
                <w:szCs w:val="24"/>
                <w:lang w:val="nl-NL"/>
              </w:rPr>
              <w:t>werd</w:t>
            </w:r>
            <w:r w:rsidRPr="00CD4E37">
              <w:rPr>
                <w:szCs w:val="24"/>
                <w:lang w:val="nl-NL"/>
              </w:rPr>
              <w:t xml:space="preserve"> waargenomen tijdens de inductie en/of de consolidatie, en vermoed wordt dat dit verband houdt met VANFLYTA. De dosis van 26,5 mg eenmaal daags blijven aanhouden</w:t>
            </w:r>
            <w:r w:rsidRPr="00CD4E37">
              <w:rPr>
                <w:szCs w:val="22"/>
                <w:lang w:val="nl-NL"/>
              </w:rPr>
              <w:t>.</w:t>
            </w:r>
          </w:p>
        </w:tc>
      </w:tr>
      <w:tr w:rsidR="00285B13" w:rsidRPr="009C764A" w14:paraId="7B4DDE1C" w14:textId="77777777" w:rsidTr="00387A3F">
        <w:trPr>
          <w:trHeight w:val="227"/>
          <w:jc w:val="center"/>
        </w:trPr>
        <w:tc>
          <w:tcPr>
            <w:tcW w:w="2494" w:type="dxa"/>
            <w:shd w:val="clear" w:color="auto" w:fill="auto"/>
          </w:tcPr>
          <w:p w14:paraId="24EDF2D7" w14:textId="77777777" w:rsidR="00285B13" w:rsidRPr="00CD4E37" w:rsidRDefault="00285B13" w:rsidP="00387A3F">
            <w:pPr>
              <w:spacing w:line="240" w:lineRule="auto"/>
              <w:rPr>
                <w:szCs w:val="22"/>
                <w:lang w:val="nl-NL"/>
              </w:rPr>
            </w:pPr>
            <w:r w:rsidRPr="00CD4E37">
              <w:rPr>
                <w:szCs w:val="22"/>
                <w:lang w:val="nl-NL"/>
              </w:rPr>
              <w:t>Recidief van QTcF ≥ 501 ms</w:t>
            </w:r>
          </w:p>
          <w:p w14:paraId="5789D6C7" w14:textId="77777777" w:rsidR="00285B13" w:rsidRPr="00CD4E37" w:rsidRDefault="00285B13" w:rsidP="00387A3F">
            <w:pPr>
              <w:spacing w:line="240" w:lineRule="auto"/>
              <w:rPr>
                <w:rFonts w:eastAsia="MS Mincho"/>
                <w:szCs w:val="24"/>
                <w:lang w:val="nl-NL"/>
              </w:rPr>
            </w:pPr>
            <w:r w:rsidRPr="00CD4E37">
              <w:rPr>
                <w:szCs w:val="22"/>
                <w:lang w:val="nl-NL"/>
              </w:rPr>
              <w:t>(graad 3)</w:t>
            </w:r>
          </w:p>
        </w:tc>
        <w:tc>
          <w:tcPr>
            <w:tcW w:w="6576" w:type="dxa"/>
            <w:shd w:val="clear" w:color="auto" w:fill="auto"/>
          </w:tcPr>
          <w:p w14:paraId="5E0184BB" w14:textId="77777777" w:rsidR="00285B13" w:rsidRPr="00CD4E37" w:rsidRDefault="00285B13" w:rsidP="00387A3F">
            <w:pPr>
              <w:numPr>
                <w:ilvl w:val="0"/>
                <w:numId w:val="6"/>
              </w:numPr>
              <w:tabs>
                <w:tab w:val="clear" w:pos="567"/>
              </w:tabs>
              <w:spacing w:after="60" w:line="240" w:lineRule="auto"/>
              <w:contextualSpacing/>
              <w:rPr>
                <w:szCs w:val="24"/>
                <w:lang w:val="nl-NL"/>
              </w:rPr>
            </w:pPr>
            <w:r w:rsidRPr="00CD4E37">
              <w:rPr>
                <w:szCs w:val="24"/>
                <w:lang w:val="nl-NL"/>
              </w:rPr>
              <w:t xml:space="preserve">Behandeling met VANFLYTA definitief staken </w:t>
            </w:r>
            <w:r w:rsidRPr="00CD4E37">
              <w:rPr>
                <w:lang w:val="nl-NL"/>
              </w:rPr>
              <w:t>indien QTcF &gt; 500 ms opnieuw optreedt ondanks de passende dosisverlaging en correctie/eliminatie van andere risicofactoren (bijv. afwijkingen in serumelektrolyten, gelijktijdig gebruik van geneesmiddelen die het QT-interval verlengen)</w:t>
            </w:r>
            <w:r w:rsidRPr="00CD4E37">
              <w:rPr>
                <w:szCs w:val="24"/>
                <w:lang w:val="nl-NL"/>
              </w:rPr>
              <w:t>.</w:t>
            </w:r>
          </w:p>
        </w:tc>
      </w:tr>
      <w:tr w:rsidR="00285B13" w:rsidRPr="009C764A" w14:paraId="1989D637" w14:textId="77777777" w:rsidTr="00387A3F">
        <w:trPr>
          <w:trHeight w:val="823"/>
          <w:jc w:val="center"/>
        </w:trPr>
        <w:tc>
          <w:tcPr>
            <w:tcW w:w="2494" w:type="dxa"/>
            <w:shd w:val="clear" w:color="auto" w:fill="auto"/>
          </w:tcPr>
          <w:p w14:paraId="754ED2C0" w14:textId="77777777" w:rsidR="00285B13" w:rsidRPr="00CD4E37" w:rsidRDefault="00285B13" w:rsidP="00387A3F">
            <w:pPr>
              <w:spacing w:line="240" w:lineRule="auto"/>
              <w:rPr>
                <w:szCs w:val="22"/>
                <w:lang w:val="nl-NL"/>
              </w:rPr>
            </w:pPr>
            <w:r w:rsidRPr="00CD4E37">
              <w:rPr>
                <w:szCs w:val="22"/>
                <w:lang w:val="nl-NL"/>
              </w:rPr>
              <w:t>Torsade de pointes; polymorfe ventriculaire tachycardie; tekenen/symptomen van levensbedreigende aritmie</w:t>
            </w:r>
          </w:p>
          <w:p w14:paraId="6BF8163E" w14:textId="77777777" w:rsidR="00285B13" w:rsidRPr="00CD4E37" w:rsidRDefault="00285B13" w:rsidP="00387A3F">
            <w:pPr>
              <w:spacing w:line="240" w:lineRule="auto"/>
              <w:rPr>
                <w:rFonts w:eastAsia="MS Mincho"/>
                <w:szCs w:val="24"/>
                <w:lang w:val="nl-NL"/>
              </w:rPr>
            </w:pPr>
            <w:r w:rsidRPr="00CD4E37">
              <w:rPr>
                <w:szCs w:val="22"/>
                <w:lang w:val="nl-NL"/>
              </w:rPr>
              <w:t>(graad 4)</w:t>
            </w:r>
          </w:p>
        </w:tc>
        <w:tc>
          <w:tcPr>
            <w:tcW w:w="6576" w:type="dxa"/>
            <w:shd w:val="clear" w:color="auto" w:fill="auto"/>
          </w:tcPr>
          <w:p w14:paraId="277A4A87" w14:textId="77777777" w:rsidR="00285B13" w:rsidRPr="00CD4E37" w:rsidRDefault="00285B13" w:rsidP="00387A3F">
            <w:pPr>
              <w:numPr>
                <w:ilvl w:val="0"/>
                <w:numId w:val="6"/>
              </w:numPr>
              <w:tabs>
                <w:tab w:val="clear" w:pos="567"/>
              </w:tabs>
              <w:spacing w:line="240" w:lineRule="auto"/>
              <w:contextualSpacing/>
              <w:rPr>
                <w:szCs w:val="24"/>
                <w:lang w:val="nl-NL"/>
              </w:rPr>
            </w:pPr>
            <w:r w:rsidRPr="00CD4E37">
              <w:rPr>
                <w:szCs w:val="24"/>
                <w:lang w:val="nl-NL"/>
              </w:rPr>
              <w:t>Behandeling met VANFLYTA definitief staken.</w:t>
            </w:r>
          </w:p>
        </w:tc>
      </w:tr>
      <w:tr w:rsidR="00285B13" w:rsidRPr="009C764A" w14:paraId="7EF680F8" w14:textId="77777777" w:rsidTr="00387A3F">
        <w:trPr>
          <w:trHeight w:val="895"/>
          <w:jc w:val="center"/>
        </w:trPr>
        <w:tc>
          <w:tcPr>
            <w:tcW w:w="2494" w:type="dxa"/>
            <w:shd w:val="clear" w:color="auto" w:fill="auto"/>
          </w:tcPr>
          <w:p w14:paraId="57EBC629" w14:textId="77777777" w:rsidR="00285B13" w:rsidRPr="00CD4E37" w:rsidRDefault="00285B13" w:rsidP="00387A3F">
            <w:pPr>
              <w:spacing w:line="240" w:lineRule="auto"/>
              <w:rPr>
                <w:rFonts w:eastAsia="MS Mincho"/>
                <w:szCs w:val="24"/>
                <w:lang w:val="nl-NL"/>
              </w:rPr>
            </w:pPr>
            <w:r w:rsidRPr="00CD4E37">
              <w:rPr>
                <w:szCs w:val="22"/>
                <w:lang w:val="nl-NL"/>
              </w:rPr>
              <w:t>Niet-hematologische bijwerkingen van graad</w:t>
            </w:r>
            <w:bookmarkStart w:id="9" w:name="_Hlk105494490"/>
            <w:r w:rsidRPr="00CD4E37">
              <w:rPr>
                <w:szCs w:val="22"/>
                <w:lang w:val="nl-NL"/>
              </w:rPr>
              <w:t> </w:t>
            </w:r>
            <w:bookmarkEnd w:id="9"/>
            <w:r w:rsidRPr="00CD4E37">
              <w:rPr>
                <w:szCs w:val="22"/>
                <w:lang w:val="nl-NL"/>
              </w:rPr>
              <w:t>3 of 4</w:t>
            </w:r>
            <w:r w:rsidRPr="00CD4E37">
              <w:rPr>
                <w:szCs w:val="24"/>
                <w:lang w:val="nl-NL"/>
              </w:rPr>
              <w:t xml:space="preserve"> </w:t>
            </w:r>
          </w:p>
        </w:tc>
        <w:tc>
          <w:tcPr>
            <w:tcW w:w="6576" w:type="dxa"/>
            <w:shd w:val="clear" w:color="auto" w:fill="auto"/>
          </w:tcPr>
          <w:p w14:paraId="0B1DE5FE" w14:textId="77777777" w:rsidR="00285B13" w:rsidRPr="00CD4E37" w:rsidRDefault="00285B13" w:rsidP="00387A3F">
            <w:pPr>
              <w:numPr>
                <w:ilvl w:val="0"/>
                <w:numId w:val="5"/>
              </w:numPr>
              <w:tabs>
                <w:tab w:val="clear" w:pos="567"/>
              </w:tabs>
              <w:spacing w:line="240" w:lineRule="auto"/>
              <w:contextualSpacing/>
              <w:rPr>
                <w:szCs w:val="24"/>
                <w:lang w:val="nl-NL"/>
              </w:rPr>
            </w:pPr>
            <w:r w:rsidRPr="00CD4E37">
              <w:rPr>
                <w:szCs w:val="24"/>
                <w:lang w:val="nl-NL"/>
              </w:rPr>
              <w:t>Behandeling met VANFLYTA onderbreken.</w:t>
            </w:r>
          </w:p>
          <w:p w14:paraId="150D059C" w14:textId="77777777" w:rsidR="00285B13" w:rsidRPr="00CD4E37" w:rsidRDefault="00285B13" w:rsidP="00387A3F">
            <w:pPr>
              <w:numPr>
                <w:ilvl w:val="0"/>
                <w:numId w:val="5"/>
              </w:numPr>
              <w:tabs>
                <w:tab w:val="clear" w:pos="567"/>
              </w:tabs>
              <w:spacing w:line="240" w:lineRule="auto"/>
              <w:contextualSpacing/>
              <w:rPr>
                <w:szCs w:val="24"/>
                <w:lang w:val="nl-NL"/>
              </w:rPr>
            </w:pPr>
            <w:r w:rsidRPr="00CD4E37">
              <w:rPr>
                <w:szCs w:val="24"/>
                <w:lang w:val="nl-NL"/>
              </w:rPr>
              <w:t>Behandeling hervatten met de eerdere dosis indien de bijwerking verbetert tot ≤ graad 1.</w:t>
            </w:r>
          </w:p>
          <w:p w14:paraId="2F9CFE53" w14:textId="0457D55F" w:rsidR="00285B13" w:rsidRPr="00CD4E37" w:rsidRDefault="00285B13" w:rsidP="00387A3F">
            <w:pPr>
              <w:numPr>
                <w:ilvl w:val="0"/>
                <w:numId w:val="5"/>
              </w:numPr>
              <w:tabs>
                <w:tab w:val="clear" w:pos="567"/>
              </w:tabs>
              <w:spacing w:line="240" w:lineRule="auto"/>
              <w:contextualSpacing/>
              <w:rPr>
                <w:szCs w:val="24"/>
                <w:lang w:val="nl-NL"/>
              </w:rPr>
            </w:pPr>
            <w:r w:rsidRPr="00CD4E37">
              <w:rPr>
                <w:szCs w:val="24"/>
                <w:lang w:val="nl-NL"/>
              </w:rPr>
              <w:t xml:space="preserve">Behandeling hervatten met een verlaagde dosis (zie tabel 3) indien de bijwerking verbetert tot </w:t>
            </w:r>
            <w:r w:rsidR="00E35FB0" w:rsidRPr="00CD4E37">
              <w:rPr>
                <w:szCs w:val="22"/>
                <w:lang w:val="nl-NL"/>
              </w:rPr>
              <w:t>&lt; </w:t>
            </w:r>
            <w:r w:rsidRPr="00CD4E37">
              <w:rPr>
                <w:szCs w:val="24"/>
                <w:lang w:val="nl-NL"/>
              </w:rPr>
              <w:t>graad 3.</w:t>
            </w:r>
          </w:p>
          <w:p w14:paraId="34D58906" w14:textId="77777777" w:rsidR="00285B13" w:rsidRPr="00CD4E37" w:rsidRDefault="00285B13" w:rsidP="00387A3F">
            <w:pPr>
              <w:numPr>
                <w:ilvl w:val="0"/>
                <w:numId w:val="5"/>
              </w:numPr>
              <w:tabs>
                <w:tab w:val="clear" w:pos="567"/>
              </w:tabs>
              <w:spacing w:line="240" w:lineRule="auto"/>
              <w:contextualSpacing/>
              <w:rPr>
                <w:szCs w:val="24"/>
                <w:lang w:val="nl-NL"/>
              </w:rPr>
            </w:pPr>
            <w:r w:rsidRPr="00CD4E37">
              <w:rPr>
                <w:szCs w:val="24"/>
                <w:lang w:val="nl-NL"/>
              </w:rPr>
              <w:t>Behandeling definitief staken indien de bijwerking van graad 3 of 4 langer dan 28 dagen aanhoudt en vermoed wordt dat deze verband houdt met VANFLYTA.</w:t>
            </w:r>
          </w:p>
        </w:tc>
      </w:tr>
      <w:tr w:rsidR="00285B13" w:rsidRPr="009C764A" w14:paraId="15EFD1C0" w14:textId="77777777" w:rsidTr="00387A3F">
        <w:trPr>
          <w:trHeight w:val="910"/>
          <w:jc w:val="center"/>
        </w:trPr>
        <w:tc>
          <w:tcPr>
            <w:tcW w:w="2494" w:type="dxa"/>
            <w:shd w:val="clear" w:color="auto" w:fill="auto"/>
          </w:tcPr>
          <w:p w14:paraId="51BEA979" w14:textId="77777777" w:rsidR="00285B13" w:rsidRPr="00CD4E37" w:rsidRDefault="00285B13" w:rsidP="00387A3F">
            <w:pPr>
              <w:spacing w:line="240" w:lineRule="auto"/>
              <w:rPr>
                <w:szCs w:val="24"/>
                <w:lang w:val="nl-NL"/>
              </w:rPr>
            </w:pPr>
            <w:r w:rsidRPr="00CD4E37">
              <w:rPr>
                <w:szCs w:val="24"/>
                <w:lang w:val="nl-NL"/>
              </w:rPr>
              <w:t xml:space="preserve">Aanhoudende neutropenie of trombocytopenie van graad 4 zonder actieve beenmergziekte </w:t>
            </w:r>
          </w:p>
        </w:tc>
        <w:tc>
          <w:tcPr>
            <w:tcW w:w="6576" w:type="dxa"/>
            <w:shd w:val="clear" w:color="auto" w:fill="auto"/>
          </w:tcPr>
          <w:p w14:paraId="1A7858B5" w14:textId="77777777" w:rsidR="00285B13" w:rsidRPr="00CD4E37" w:rsidRDefault="00285B13" w:rsidP="00387A3F">
            <w:pPr>
              <w:numPr>
                <w:ilvl w:val="0"/>
                <w:numId w:val="4"/>
              </w:numPr>
              <w:tabs>
                <w:tab w:val="clear" w:pos="567"/>
              </w:tabs>
              <w:spacing w:line="240" w:lineRule="auto"/>
              <w:contextualSpacing/>
              <w:rPr>
                <w:szCs w:val="24"/>
                <w:lang w:val="nl-NL"/>
              </w:rPr>
            </w:pPr>
            <w:r w:rsidRPr="00CD4E37">
              <w:rPr>
                <w:szCs w:val="24"/>
                <w:lang w:val="nl-NL"/>
              </w:rPr>
              <w:t>De dosis verlagen (zie tabel 3).</w:t>
            </w:r>
          </w:p>
        </w:tc>
      </w:tr>
    </w:tbl>
    <w:bookmarkEnd w:id="6"/>
    <w:p w14:paraId="2C4E7CDB" w14:textId="1862D8B3" w:rsidR="00285B13" w:rsidRPr="00CD4E37" w:rsidRDefault="00285B13" w:rsidP="00891282">
      <w:pPr>
        <w:tabs>
          <w:tab w:val="clear" w:pos="567"/>
        </w:tabs>
        <w:spacing w:line="240" w:lineRule="auto"/>
        <w:rPr>
          <w:sz w:val="20"/>
          <w:lang w:val="nl-NL"/>
        </w:rPr>
      </w:pPr>
      <w:r w:rsidRPr="00CD4E37">
        <w:rPr>
          <w:sz w:val="20"/>
          <w:lang w:val="nl-NL"/>
        </w:rPr>
        <w:t xml:space="preserve">De gradering is overeenkomstig de </w:t>
      </w:r>
      <w:r w:rsidRPr="00CD4E37">
        <w:rPr>
          <w:i/>
          <w:iCs/>
          <w:sz w:val="20"/>
          <w:lang w:val="nl-NL"/>
        </w:rPr>
        <w:t>Common Terminology Criteria for Adverse Events</w:t>
      </w:r>
      <w:r w:rsidRPr="00CD4E37">
        <w:rPr>
          <w:sz w:val="20"/>
          <w:lang w:val="nl-NL"/>
        </w:rPr>
        <w:t xml:space="preserve"> van het </w:t>
      </w:r>
      <w:r w:rsidRPr="00CD4E37">
        <w:rPr>
          <w:i/>
          <w:iCs/>
          <w:sz w:val="20"/>
          <w:lang w:val="nl-NL"/>
        </w:rPr>
        <w:t>National Cancer Institute</w:t>
      </w:r>
      <w:r w:rsidRPr="00CD4E37">
        <w:rPr>
          <w:sz w:val="20"/>
          <w:lang w:val="nl-NL"/>
        </w:rPr>
        <w:t>; versie 4.03 (NCI</w:t>
      </w:r>
      <w:r w:rsidR="00407E5E">
        <w:rPr>
          <w:sz w:val="20"/>
          <w:lang w:val="nl-NL"/>
        </w:rPr>
        <w:t>-</w:t>
      </w:r>
      <w:r w:rsidRPr="00CD4E37">
        <w:rPr>
          <w:sz w:val="20"/>
          <w:lang w:val="nl-NL"/>
        </w:rPr>
        <w:t>CTCAE v4.03).</w:t>
      </w:r>
    </w:p>
    <w:p w14:paraId="5A18A9AF" w14:textId="77777777" w:rsidR="00285B13" w:rsidRPr="00CD4E37" w:rsidRDefault="00285B13" w:rsidP="00891282">
      <w:pPr>
        <w:tabs>
          <w:tab w:val="clear" w:pos="567"/>
        </w:tabs>
        <w:spacing w:line="240" w:lineRule="auto"/>
        <w:rPr>
          <w:szCs w:val="22"/>
          <w:lang w:val="nl-NL"/>
        </w:rPr>
      </w:pPr>
    </w:p>
    <w:p w14:paraId="7F328D64" w14:textId="231FFDC2" w:rsidR="00285B13" w:rsidRPr="00CD4E37" w:rsidRDefault="00285B13" w:rsidP="001C6ECA">
      <w:pPr>
        <w:keepNext/>
        <w:tabs>
          <w:tab w:val="clear" w:pos="567"/>
        </w:tabs>
        <w:spacing w:line="240" w:lineRule="auto"/>
        <w:rPr>
          <w:i/>
          <w:iCs/>
          <w:szCs w:val="22"/>
          <w:lang w:val="nl-NL"/>
        </w:rPr>
      </w:pPr>
      <w:r w:rsidRPr="00CD4E37">
        <w:rPr>
          <w:i/>
          <w:iCs/>
          <w:szCs w:val="22"/>
          <w:lang w:val="nl-NL"/>
        </w:rPr>
        <w:lastRenderedPageBreak/>
        <w:t xml:space="preserve">Dosisaanpassingen vanwege bijwerkingen en/of </w:t>
      </w:r>
      <w:r w:rsidR="00A4582D" w:rsidRPr="00CD4E37">
        <w:rPr>
          <w:i/>
          <w:iCs/>
          <w:szCs w:val="22"/>
          <w:lang w:val="nl-NL"/>
        </w:rPr>
        <w:t xml:space="preserve">gelijktijdig </w:t>
      </w:r>
      <w:r w:rsidRPr="00CD4E37">
        <w:rPr>
          <w:i/>
          <w:iCs/>
          <w:szCs w:val="22"/>
          <w:lang w:val="nl-NL"/>
        </w:rPr>
        <w:t>gebruik met sterke CYP3A-remmers.</w:t>
      </w:r>
    </w:p>
    <w:p w14:paraId="516727F8" w14:textId="77777777" w:rsidR="00285B13" w:rsidRPr="00CD4E37" w:rsidRDefault="00285B13" w:rsidP="001C6ECA">
      <w:pPr>
        <w:keepNext/>
        <w:tabs>
          <w:tab w:val="clear" w:pos="567"/>
        </w:tabs>
        <w:spacing w:line="240" w:lineRule="auto"/>
        <w:rPr>
          <w:szCs w:val="22"/>
          <w:lang w:val="nl-NL"/>
        </w:rPr>
      </w:pPr>
      <w:bookmarkStart w:id="10" w:name="_Hlk94100151"/>
    </w:p>
    <w:p w14:paraId="7D752BA2" w14:textId="77777777" w:rsidR="00285B13" w:rsidRPr="00CD4E37" w:rsidRDefault="00285B13" w:rsidP="00891282">
      <w:pPr>
        <w:keepNext/>
        <w:tabs>
          <w:tab w:val="clear" w:pos="567"/>
        </w:tabs>
        <w:spacing w:line="240" w:lineRule="auto"/>
        <w:rPr>
          <w:b/>
          <w:bCs/>
          <w:szCs w:val="22"/>
          <w:lang w:val="nl-NL"/>
        </w:rPr>
      </w:pPr>
      <w:r w:rsidRPr="00CD4E37">
        <w:rPr>
          <w:b/>
          <w:bCs/>
          <w:szCs w:val="22"/>
          <w:lang w:val="nl-NL"/>
        </w:rPr>
        <w:t>Tabel 3: Dosisaanpassingen per fase vanwege bijwerkingen en/of gelijktijdig gebruik van sterke CYP3A-remmers tijdens behandeling met VANFLYTA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2"/>
        <w:gridCol w:w="1410"/>
        <w:gridCol w:w="1725"/>
        <w:gridCol w:w="1499"/>
        <w:gridCol w:w="1725"/>
      </w:tblGrid>
      <w:tr w:rsidR="00285B13" w:rsidRPr="00CD4E37" w14:paraId="2929985E" w14:textId="77777777" w:rsidTr="00387A3F">
        <w:trPr>
          <w:jc w:val="center"/>
        </w:trPr>
        <w:tc>
          <w:tcPr>
            <w:tcW w:w="3055" w:type="dxa"/>
            <w:vMerge w:val="restart"/>
            <w:tcMar>
              <w:top w:w="0" w:type="dxa"/>
              <w:left w:w="108" w:type="dxa"/>
              <w:bottom w:w="0" w:type="dxa"/>
              <w:right w:w="108" w:type="dxa"/>
            </w:tcMar>
            <w:vAlign w:val="center"/>
            <w:hideMark/>
          </w:tcPr>
          <w:p w14:paraId="1317DE31" w14:textId="77777777" w:rsidR="00285B13" w:rsidRPr="00CD4E37" w:rsidRDefault="00285B13" w:rsidP="00387A3F">
            <w:pPr>
              <w:keepNext/>
              <w:spacing w:line="252" w:lineRule="auto"/>
              <w:jc w:val="center"/>
              <w:rPr>
                <w:b/>
                <w:bCs/>
                <w:lang w:val="nl-NL"/>
              </w:rPr>
            </w:pPr>
            <w:bookmarkStart w:id="11" w:name="_Hlk119575519"/>
            <w:r w:rsidRPr="00CD4E37">
              <w:rPr>
                <w:b/>
                <w:bCs/>
                <w:lang w:val="nl-NL"/>
              </w:rPr>
              <w:t>Fase van de behandeling</w:t>
            </w:r>
          </w:p>
        </w:tc>
        <w:tc>
          <w:tcPr>
            <w:tcW w:w="1440" w:type="dxa"/>
            <w:vMerge w:val="restart"/>
            <w:tcMar>
              <w:top w:w="0" w:type="dxa"/>
              <w:left w:w="108" w:type="dxa"/>
              <w:bottom w:w="0" w:type="dxa"/>
              <w:right w:w="108" w:type="dxa"/>
            </w:tcMar>
            <w:vAlign w:val="center"/>
            <w:hideMark/>
          </w:tcPr>
          <w:p w14:paraId="15B3A67D" w14:textId="77777777" w:rsidR="00285B13" w:rsidRPr="00CD4E37" w:rsidRDefault="00285B13" w:rsidP="00387A3F">
            <w:pPr>
              <w:keepNext/>
              <w:spacing w:line="252" w:lineRule="auto"/>
              <w:jc w:val="center"/>
              <w:rPr>
                <w:b/>
                <w:bCs/>
                <w:lang w:val="nl-NL"/>
              </w:rPr>
            </w:pPr>
            <w:r w:rsidRPr="00CD4E37">
              <w:rPr>
                <w:b/>
                <w:bCs/>
                <w:lang w:val="nl-NL"/>
              </w:rPr>
              <w:t>Volledige dosis</w:t>
            </w:r>
          </w:p>
        </w:tc>
        <w:tc>
          <w:tcPr>
            <w:tcW w:w="4566" w:type="dxa"/>
            <w:gridSpan w:val="3"/>
            <w:tcMar>
              <w:top w:w="0" w:type="dxa"/>
              <w:left w:w="108" w:type="dxa"/>
              <w:bottom w:w="0" w:type="dxa"/>
              <w:right w:w="108" w:type="dxa"/>
            </w:tcMar>
            <w:hideMark/>
          </w:tcPr>
          <w:p w14:paraId="2806D517" w14:textId="77777777" w:rsidR="00285B13" w:rsidRPr="00CD4E37" w:rsidRDefault="00285B13" w:rsidP="00387A3F">
            <w:pPr>
              <w:keepNext/>
              <w:spacing w:line="252" w:lineRule="auto"/>
              <w:jc w:val="center"/>
              <w:rPr>
                <w:b/>
                <w:bCs/>
                <w:lang w:val="nl-NL"/>
              </w:rPr>
            </w:pPr>
            <w:r w:rsidRPr="00CD4E37">
              <w:rPr>
                <w:b/>
                <w:bCs/>
                <w:lang w:val="nl-NL"/>
              </w:rPr>
              <w:t>Dosisverlagingen</w:t>
            </w:r>
          </w:p>
        </w:tc>
      </w:tr>
      <w:tr w:rsidR="00285B13" w:rsidRPr="009C764A" w14:paraId="4AE35513" w14:textId="77777777" w:rsidTr="00387A3F">
        <w:trPr>
          <w:jc w:val="center"/>
        </w:trPr>
        <w:tc>
          <w:tcPr>
            <w:tcW w:w="3055" w:type="dxa"/>
            <w:vMerge/>
            <w:vAlign w:val="center"/>
            <w:hideMark/>
          </w:tcPr>
          <w:p w14:paraId="3BC70CCA" w14:textId="77777777" w:rsidR="00285B13" w:rsidRPr="00CD4E37" w:rsidRDefault="00285B13" w:rsidP="0015597A">
            <w:pPr>
              <w:keepNext/>
              <w:rPr>
                <w:rFonts w:ascii="Calibri" w:eastAsiaTheme="minorEastAsia" w:hAnsi="Calibri" w:cs="Calibri"/>
                <w:b/>
                <w:bCs/>
                <w:szCs w:val="22"/>
                <w:lang w:val="nl-NL"/>
              </w:rPr>
            </w:pPr>
          </w:p>
        </w:tc>
        <w:tc>
          <w:tcPr>
            <w:tcW w:w="1440" w:type="dxa"/>
            <w:vMerge/>
            <w:vAlign w:val="center"/>
            <w:hideMark/>
          </w:tcPr>
          <w:p w14:paraId="5E427587" w14:textId="77777777" w:rsidR="00285B13" w:rsidRPr="00CD4E37" w:rsidRDefault="00285B13" w:rsidP="0015597A">
            <w:pPr>
              <w:keepNext/>
              <w:rPr>
                <w:rFonts w:ascii="Calibri" w:eastAsiaTheme="minorEastAsia" w:hAnsi="Calibri" w:cs="Calibri"/>
                <w:b/>
                <w:bCs/>
                <w:szCs w:val="22"/>
                <w:lang w:val="nl-NL"/>
              </w:rPr>
            </w:pPr>
          </w:p>
        </w:tc>
        <w:tc>
          <w:tcPr>
            <w:tcW w:w="1464" w:type="dxa"/>
            <w:tcMar>
              <w:top w:w="0" w:type="dxa"/>
              <w:left w:w="108" w:type="dxa"/>
              <w:bottom w:w="0" w:type="dxa"/>
              <w:right w:w="108" w:type="dxa"/>
            </w:tcMar>
            <w:vAlign w:val="center"/>
          </w:tcPr>
          <w:p w14:paraId="36A39535" w14:textId="77777777" w:rsidR="00285B13" w:rsidRPr="00CD4E37" w:rsidRDefault="00285B13" w:rsidP="0015597A">
            <w:pPr>
              <w:keepNext/>
              <w:spacing w:line="252" w:lineRule="auto"/>
              <w:jc w:val="center"/>
              <w:rPr>
                <w:b/>
                <w:bCs/>
                <w:lang w:val="nl-NL"/>
              </w:rPr>
            </w:pPr>
            <w:r w:rsidRPr="00CD4E37">
              <w:rPr>
                <w:b/>
                <w:bCs/>
                <w:lang w:val="nl-NL"/>
              </w:rPr>
              <w:t>Bijwerking</w:t>
            </w:r>
          </w:p>
          <w:p w14:paraId="3C9FF1F0" w14:textId="77777777" w:rsidR="00285B13" w:rsidRPr="00CD4E37" w:rsidRDefault="00285B13" w:rsidP="0015597A">
            <w:pPr>
              <w:keepNext/>
              <w:spacing w:line="252" w:lineRule="auto"/>
              <w:jc w:val="center"/>
              <w:rPr>
                <w:b/>
                <w:bCs/>
                <w:lang w:val="nl-NL"/>
              </w:rPr>
            </w:pPr>
          </w:p>
        </w:tc>
        <w:tc>
          <w:tcPr>
            <w:tcW w:w="1551" w:type="dxa"/>
            <w:tcMar>
              <w:top w:w="0" w:type="dxa"/>
              <w:left w:w="108" w:type="dxa"/>
              <w:bottom w:w="0" w:type="dxa"/>
              <w:right w:w="108" w:type="dxa"/>
            </w:tcMar>
            <w:vAlign w:val="center"/>
            <w:hideMark/>
          </w:tcPr>
          <w:p w14:paraId="5F115C4D" w14:textId="77777777" w:rsidR="00285B13" w:rsidRPr="00CD4E37" w:rsidRDefault="00285B13" w:rsidP="0015597A">
            <w:pPr>
              <w:keepNext/>
              <w:spacing w:line="252" w:lineRule="auto"/>
              <w:jc w:val="center"/>
              <w:rPr>
                <w:b/>
                <w:bCs/>
                <w:lang w:val="nl-NL"/>
              </w:rPr>
            </w:pPr>
            <w:r w:rsidRPr="00CD4E37">
              <w:rPr>
                <w:b/>
                <w:bCs/>
                <w:lang w:val="nl-NL"/>
              </w:rPr>
              <w:t>Gelijktijdig gebruik van sterke CYP3A-remmers</w:t>
            </w:r>
          </w:p>
        </w:tc>
        <w:tc>
          <w:tcPr>
            <w:tcW w:w="1551" w:type="dxa"/>
            <w:tcMar>
              <w:top w:w="0" w:type="dxa"/>
              <w:left w:w="108" w:type="dxa"/>
              <w:bottom w:w="0" w:type="dxa"/>
              <w:right w:w="108" w:type="dxa"/>
            </w:tcMar>
            <w:vAlign w:val="center"/>
            <w:hideMark/>
          </w:tcPr>
          <w:p w14:paraId="380EE731" w14:textId="77777777" w:rsidR="00285B13" w:rsidRPr="00CD4E37" w:rsidRDefault="00285B13" w:rsidP="00387A3F">
            <w:pPr>
              <w:keepNext/>
              <w:keepLines/>
              <w:spacing w:line="252" w:lineRule="auto"/>
              <w:jc w:val="center"/>
              <w:rPr>
                <w:b/>
                <w:bCs/>
                <w:lang w:val="nl-NL"/>
              </w:rPr>
            </w:pPr>
            <w:r w:rsidRPr="00CD4E37">
              <w:rPr>
                <w:b/>
                <w:bCs/>
                <w:lang w:val="nl-NL"/>
              </w:rPr>
              <w:t>Bijwerking</w:t>
            </w:r>
          </w:p>
          <w:p w14:paraId="2EC807E3" w14:textId="77777777" w:rsidR="00285B13" w:rsidRPr="00CD4E37" w:rsidRDefault="00285B13" w:rsidP="00387A3F">
            <w:pPr>
              <w:keepNext/>
              <w:keepLines/>
              <w:spacing w:line="252" w:lineRule="auto"/>
              <w:jc w:val="center"/>
              <w:rPr>
                <w:b/>
                <w:bCs/>
                <w:lang w:val="nl-NL"/>
              </w:rPr>
            </w:pPr>
            <w:r w:rsidRPr="00CD4E37">
              <w:rPr>
                <w:b/>
                <w:bCs/>
                <w:lang w:val="nl-NL"/>
              </w:rPr>
              <w:t>en gelijktijdig gebruik van sterke CYP3A-remmers</w:t>
            </w:r>
          </w:p>
        </w:tc>
      </w:tr>
      <w:tr w:rsidR="00285B13" w:rsidRPr="00CD4E37" w14:paraId="4F3DE708" w14:textId="77777777" w:rsidTr="00387A3F">
        <w:trPr>
          <w:jc w:val="center"/>
        </w:trPr>
        <w:tc>
          <w:tcPr>
            <w:tcW w:w="3055" w:type="dxa"/>
            <w:tcMar>
              <w:top w:w="0" w:type="dxa"/>
              <w:left w:w="108" w:type="dxa"/>
              <w:bottom w:w="0" w:type="dxa"/>
              <w:right w:w="108" w:type="dxa"/>
            </w:tcMar>
            <w:hideMark/>
          </w:tcPr>
          <w:p w14:paraId="0E4389EE" w14:textId="77777777" w:rsidR="00285B13" w:rsidRPr="00CD4E37" w:rsidRDefault="00285B13" w:rsidP="0015597A">
            <w:pPr>
              <w:keepNext/>
              <w:spacing w:line="252" w:lineRule="auto"/>
              <w:rPr>
                <w:lang w:val="nl-NL"/>
              </w:rPr>
            </w:pPr>
            <w:r w:rsidRPr="00CD4E37">
              <w:rPr>
                <w:lang w:val="nl-NL"/>
              </w:rPr>
              <w:t>Inductie of consolidatie</w:t>
            </w:r>
          </w:p>
        </w:tc>
        <w:tc>
          <w:tcPr>
            <w:tcW w:w="1440" w:type="dxa"/>
            <w:tcMar>
              <w:top w:w="0" w:type="dxa"/>
              <w:left w:w="108" w:type="dxa"/>
              <w:bottom w:w="0" w:type="dxa"/>
              <w:right w:w="108" w:type="dxa"/>
            </w:tcMar>
            <w:hideMark/>
          </w:tcPr>
          <w:p w14:paraId="500F22A3" w14:textId="77777777" w:rsidR="00285B13" w:rsidRPr="00CD4E37" w:rsidRDefault="00285B13" w:rsidP="0015597A">
            <w:pPr>
              <w:keepNext/>
              <w:spacing w:line="252" w:lineRule="auto"/>
              <w:ind w:left="360"/>
              <w:rPr>
                <w:lang w:val="nl-NL"/>
              </w:rPr>
            </w:pPr>
            <w:r w:rsidRPr="00CD4E37">
              <w:rPr>
                <w:lang w:val="nl-NL"/>
              </w:rPr>
              <w:t>35,4 mg</w:t>
            </w:r>
          </w:p>
        </w:tc>
        <w:tc>
          <w:tcPr>
            <w:tcW w:w="1464" w:type="dxa"/>
            <w:tcMar>
              <w:top w:w="0" w:type="dxa"/>
              <w:left w:w="108" w:type="dxa"/>
              <w:bottom w:w="0" w:type="dxa"/>
              <w:right w:w="108" w:type="dxa"/>
            </w:tcMar>
            <w:hideMark/>
          </w:tcPr>
          <w:p w14:paraId="6FB0A360" w14:textId="77777777" w:rsidR="00285B13" w:rsidRPr="00CD4E37" w:rsidRDefault="00285B13" w:rsidP="0015597A">
            <w:pPr>
              <w:keepNext/>
              <w:spacing w:line="252" w:lineRule="auto"/>
              <w:ind w:left="360"/>
              <w:rPr>
                <w:lang w:val="nl-NL"/>
              </w:rPr>
            </w:pPr>
            <w:r w:rsidRPr="00CD4E37">
              <w:rPr>
                <w:lang w:val="nl-NL"/>
              </w:rPr>
              <w:t>26,5 mg</w:t>
            </w:r>
          </w:p>
        </w:tc>
        <w:tc>
          <w:tcPr>
            <w:tcW w:w="1551" w:type="dxa"/>
            <w:tcMar>
              <w:top w:w="0" w:type="dxa"/>
              <w:left w:w="108" w:type="dxa"/>
              <w:bottom w:w="0" w:type="dxa"/>
              <w:right w:w="108" w:type="dxa"/>
            </w:tcMar>
            <w:hideMark/>
          </w:tcPr>
          <w:p w14:paraId="667883BF" w14:textId="77777777" w:rsidR="00285B13" w:rsidRPr="00CD4E37" w:rsidRDefault="00285B13" w:rsidP="0015597A">
            <w:pPr>
              <w:keepNext/>
              <w:spacing w:line="252" w:lineRule="auto"/>
              <w:ind w:left="360"/>
              <w:rPr>
                <w:lang w:val="nl-NL"/>
              </w:rPr>
            </w:pPr>
            <w:r w:rsidRPr="00CD4E37">
              <w:rPr>
                <w:lang w:val="nl-NL"/>
              </w:rPr>
              <w:t>17,7 mg</w:t>
            </w:r>
          </w:p>
        </w:tc>
        <w:tc>
          <w:tcPr>
            <w:tcW w:w="1551" w:type="dxa"/>
            <w:tcMar>
              <w:top w:w="0" w:type="dxa"/>
              <w:left w:w="108" w:type="dxa"/>
              <w:bottom w:w="0" w:type="dxa"/>
              <w:right w:w="108" w:type="dxa"/>
            </w:tcMar>
            <w:hideMark/>
          </w:tcPr>
          <w:p w14:paraId="3863298D" w14:textId="77777777" w:rsidR="00285B13" w:rsidRPr="00CD4E37" w:rsidRDefault="00285B13" w:rsidP="0015597A">
            <w:pPr>
              <w:keepNext/>
              <w:spacing w:line="252" w:lineRule="auto"/>
              <w:ind w:left="360"/>
              <w:rPr>
                <w:lang w:val="nl-NL"/>
              </w:rPr>
            </w:pPr>
            <w:r w:rsidRPr="00CD4E37">
              <w:rPr>
                <w:lang w:val="nl-NL"/>
              </w:rPr>
              <w:t>Onderbreken</w:t>
            </w:r>
          </w:p>
        </w:tc>
      </w:tr>
      <w:tr w:rsidR="00285B13" w:rsidRPr="00CD4E37" w14:paraId="0DC4B82D" w14:textId="77777777" w:rsidTr="00387A3F">
        <w:trPr>
          <w:jc w:val="center"/>
        </w:trPr>
        <w:tc>
          <w:tcPr>
            <w:tcW w:w="3055" w:type="dxa"/>
            <w:tcMar>
              <w:top w:w="0" w:type="dxa"/>
              <w:left w:w="108" w:type="dxa"/>
              <w:bottom w:w="0" w:type="dxa"/>
              <w:right w:w="108" w:type="dxa"/>
            </w:tcMar>
            <w:hideMark/>
          </w:tcPr>
          <w:p w14:paraId="14D4EB76" w14:textId="77777777" w:rsidR="00285B13" w:rsidRPr="00CD4E37" w:rsidRDefault="00285B13" w:rsidP="00BE5247">
            <w:pPr>
              <w:keepNext/>
              <w:spacing w:line="252" w:lineRule="auto"/>
              <w:rPr>
                <w:lang w:val="nl-NL"/>
              </w:rPr>
            </w:pPr>
            <w:r w:rsidRPr="00CD4E37">
              <w:rPr>
                <w:color w:val="000000"/>
                <w:lang w:val="nl-NL"/>
              </w:rPr>
              <w:t>Onderhoud</w:t>
            </w:r>
            <w:r w:rsidRPr="00CD4E37">
              <w:rPr>
                <w:lang w:val="nl-NL"/>
              </w:rPr>
              <w:t xml:space="preserve"> (eerste twee weken)</w:t>
            </w:r>
          </w:p>
        </w:tc>
        <w:tc>
          <w:tcPr>
            <w:tcW w:w="1440" w:type="dxa"/>
            <w:tcMar>
              <w:top w:w="0" w:type="dxa"/>
              <w:left w:w="108" w:type="dxa"/>
              <w:bottom w:w="0" w:type="dxa"/>
              <w:right w:w="108" w:type="dxa"/>
            </w:tcMar>
            <w:hideMark/>
          </w:tcPr>
          <w:p w14:paraId="4759C145" w14:textId="77777777" w:rsidR="00285B13" w:rsidRPr="00CD4E37" w:rsidRDefault="00285B13" w:rsidP="00387A3F">
            <w:pPr>
              <w:spacing w:line="252" w:lineRule="auto"/>
              <w:ind w:left="360"/>
              <w:rPr>
                <w:lang w:val="nl-NL"/>
              </w:rPr>
            </w:pPr>
            <w:r w:rsidRPr="00CD4E37">
              <w:rPr>
                <w:lang w:val="nl-NL"/>
              </w:rPr>
              <w:t>26,5 mg</w:t>
            </w:r>
          </w:p>
        </w:tc>
        <w:tc>
          <w:tcPr>
            <w:tcW w:w="1464" w:type="dxa"/>
            <w:tcMar>
              <w:top w:w="0" w:type="dxa"/>
              <w:left w:w="108" w:type="dxa"/>
              <w:bottom w:w="0" w:type="dxa"/>
              <w:right w:w="108" w:type="dxa"/>
            </w:tcMar>
            <w:hideMark/>
          </w:tcPr>
          <w:p w14:paraId="59583EC5" w14:textId="77777777" w:rsidR="00285B13" w:rsidRPr="00CD4E37" w:rsidRDefault="00285B13" w:rsidP="00387A3F">
            <w:pPr>
              <w:spacing w:line="252" w:lineRule="auto"/>
              <w:ind w:left="360"/>
              <w:rPr>
                <w:lang w:val="nl-NL"/>
              </w:rPr>
            </w:pPr>
            <w:r w:rsidRPr="00CD4E37">
              <w:rPr>
                <w:lang w:val="nl-NL"/>
              </w:rPr>
              <w:t>Onderbreken</w:t>
            </w:r>
          </w:p>
        </w:tc>
        <w:tc>
          <w:tcPr>
            <w:tcW w:w="1551" w:type="dxa"/>
            <w:tcMar>
              <w:top w:w="0" w:type="dxa"/>
              <w:left w:w="108" w:type="dxa"/>
              <w:bottom w:w="0" w:type="dxa"/>
              <w:right w:w="108" w:type="dxa"/>
            </w:tcMar>
            <w:hideMark/>
          </w:tcPr>
          <w:p w14:paraId="296CE914" w14:textId="77777777" w:rsidR="00285B13" w:rsidRPr="00CD4E37" w:rsidRDefault="00285B13" w:rsidP="00387A3F">
            <w:pPr>
              <w:spacing w:line="252" w:lineRule="auto"/>
              <w:ind w:left="360"/>
              <w:rPr>
                <w:lang w:val="nl-NL"/>
              </w:rPr>
            </w:pPr>
            <w:r w:rsidRPr="00CD4E37">
              <w:rPr>
                <w:lang w:val="nl-NL"/>
              </w:rPr>
              <w:t>17,7 mg</w:t>
            </w:r>
          </w:p>
        </w:tc>
        <w:tc>
          <w:tcPr>
            <w:tcW w:w="1551" w:type="dxa"/>
            <w:tcMar>
              <w:top w:w="0" w:type="dxa"/>
              <w:left w:w="108" w:type="dxa"/>
              <w:bottom w:w="0" w:type="dxa"/>
              <w:right w:w="108" w:type="dxa"/>
            </w:tcMar>
            <w:hideMark/>
          </w:tcPr>
          <w:p w14:paraId="5236721E" w14:textId="77777777" w:rsidR="00285B13" w:rsidRPr="00CD4E37" w:rsidRDefault="00285B13" w:rsidP="00387A3F">
            <w:pPr>
              <w:spacing w:line="252" w:lineRule="auto"/>
              <w:ind w:left="360"/>
              <w:rPr>
                <w:lang w:val="nl-NL"/>
              </w:rPr>
            </w:pPr>
            <w:r w:rsidRPr="00CD4E37">
              <w:rPr>
                <w:lang w:val="nl-NL"/>
              </w:rPr>
              <w:t>Onderbreken</w:t>
            </w:r>
          </w:p>
        </w:tc>
      </w:tr>
      <w:tr w:rsidR="00285B13" w:rsidRPr="00CD4E37" w14:paraId="6006C6EC" w14:textId="77777777" w:rsidTr="00387A3F">
        <w:trPr>
          <w:jc w:val="center"/>
        </w:trPr>
        <w:tc>
          <w:tcPr>
            <w:tcW w:w="3055" w:type="dxa"/>
            <w:tcMar>
              <w:top w:w="0" w:type="dxa"/>
              <w:left w:w="108" w:type="dxa"/>
              <w:bottom w:w="0" w:type="dxa"/>
              <w:right w:w="108" w:type="dxa"/>
            </w:tcMar>
            <w:hideMark/>
          </w:tcPr>
          <w:p w14:paraId="4EDA5091" w14:textId="77777777" w:rsidR="00285B13" w:rsidRPr="00CD4E37" w:rsidRDefault="00285B13" w:rsidP="00387A3F">
            <w:pPr>
              <w:spacing w:line="252" w:lineRule="auto"/>
              <w:rPr>
                <w:lang w:val="nl-NL"/>
              </w:rPr>
            </w:pPr>
            <w:r w:rsidRPr="00CD4E37">
              <w:rPr>
                <w:color w:val="000000"/>
                <w:lang w:val="nl-NL"/>
              </w:rPr>
              <w:t>Onderhoud</w:t>
            </w:r>
            <w:r w:rsidRPr="00CD4E37">
              <w:rPr>
                <w:lang w:val="nl-NL"/>
              </w:rPr>
              <w:t xml:space="preserve"> (na twee weken)</w:t>
            </w:r>
          </w:p>
        </w:tc>
        <w:tc>
          <w:tcPr>
            <w:tcW w:w="1440" w:type="dxa"/>
            <w:tcMar>
              <w:top w:w="0" w:type="dxa"/>
              <w:left w:w="108" w:type="dxa"/>
              <w:bottom w:w="0" w:type="dxa"/>
              <w:right w:w="108" w:type="dxa"/>
            </w:tcMar>
            <w:hideMark/>
          </w:tcPr>
          <w:p w14:paraId="2851A9B0" w14:textId="77777777" w:rsidR="00285B13" w:rsidRPr="00CD4E37" w:rsidRDefault="00285B13" w:rsidP="00387A3F">
            <w:pPr>
              <w:spacing w:line="252" w:lineRule="auto"/>
              <w:ind w:left="360"/>
              <w:rPr>
                <w:lang w:val="nl-NL"/>
              </w:rPr>
            </w:pPr>
            <w:r w:rsidRPr="00CD4E37">
              <w:rPr>
                <w:lang w:val="nl-NL"/>
              </w:rPr>
              <w:t>53 mg</w:t>
            </w:r>
          </w:p>
        </w:tc>
        <w:tc>
          <w:tcPr>
            <w:tcW w:w="1464" w:type="dxa"/>
            <w:tcMar>
              <w:top w:w="0" w:type="dxa"/>
              <w:left w:w="108" w:type="dxa"/>
              <w:bottom w:w="0" w:type="dxa"/>
              <w:right w:w="108" w:type="dxa"/>
            </w:tcMar>
            <w:hideMark/>
          </w:tcPr>
          <w:p w14:paraId="5FE784B3" w14:textId="77777777" w:rsidR="00285B13" w:rsidRPr="00CD4E37" w:rsidRDefault="00285B13" w:rsidP="00387A3F">
            <w:pPr>
              <w:spacing w:line="252" w:lineRule="auto"/>
              <w:ind w:left="360"/>
              <w:rPr>
                <w:lang w:val="nl-NL"/>
              </w:rPr>
            </w:pPr>
            <w:r w:rsidRPr="00CD4E37">
              <w:rPr>
                <w:lang w:val="nl-NL"/>
              </w:rPr>
              <w:t>35,4 mg</w:t>
            </w:r>
          </w:p>
        </w:tc>
        <w:tc>
          <w:tcPr>
            <w:tcW w:w="1551" w:type="dxa"/>
            <w:tcMar>
              <w:top w:w="0" w:type="dxa"/>
              <w:left w:w="108" w:type="dxa"/>
              <w:bottom w:w="0" w:type="dxa"/>
              <w:right w:w="108" w:type="dxa"/>
            </w:tcMar>
            <w:hideMark/>
          </w:tcPr>
          <w:p w14:paraId="4FDAB6F8" w14:textId="77777777" w:rsidR="00285B13" w:rsidRPr="00CD4E37" w:rsidRDefault="00285B13" w:rsidP="00387A3F">
            <w:pPr>
              <w:spacing w:line="252" w:lineRule="auto"/>
              <w:ind w:left="360"/>
              <w:rPr>
                <w:lang w:val="nl-NL"/>
              </w:rPr>
            </w:pPr>
            <w:r w:rsidRPr="00CD4E37">
              <w:rPr>
                <w:lang w:val="nl-NL"/>
              </w:rPr>
              <w:t>26,5 mg</w:t>
            </w:r>
          </w:p>
        </w:tc>
        <w:tc>
          <w:tcPr>
            <w:tcW w:w="1551" w:type="dxa"/>
            <w:tcMar>
              <w:top w:w="0" w:type="dxa"/>
              <w:left w:w="108" w:type="dxa"/>
              <w:bottom w:w="0" w:type="dxa"/>
              <w:right w:w="108" w:type="dxa"/>
            </w:tcMar>
            <w:hideMark/>
          </w:tcPr>
          <w:p w14:paraId="14AA302C" w14:textId="77777777" w:rsidR="00285B13" w:rsidRPr="00CD4E37" w:rsidRDefault="00285B13" w:rsidP="00387A3F">
            <w:pPr>
              <w:spacing w:line="252" w:lineRule="auto"/>
              <w:ind w:left="360"/>
              <w:rPr>
                <w:lang w:val="nl-NL"/>
              </w:rPr>
            </w:pPr>
            <w:r w:rsidRPr="00CD4E37">
              <w:rPr>
                <w:lang w:val="nl-NL"/>
              </w:rPr>
              <w:t>17,7 mg</w:t>
            </w:r>
          </w:p>
        </w:tc>
      </w:tr>
      <w:bookmarkEnd w:id="10"/>
      <w:bookmarkEnd w:id="11"/>
    </w:tbl>
    <w:p w14:paraId="7F0A3BC0" w14:textId="77777777" w:rsidR="00285B13" w:rsidRPr="00CD4E37" w:rsidRDefault="00285B13" w:rsidP="00891282">
      <w:pPr>
        <w:tabs>
          <w:tab w:val="clear" w:pos="567"/>
        </w:tabs>
        <w:spacing w:line="240" w:lineRule="auto"/>
        <w:rPr>
          <w:szCs w:val="22"/>
          <w:lang w:val="nl-NL"/>
        </w:rPr>
      </w:pPr>
    </w:p>
    <w:p w14:paraId="46A323CB"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Dosis vergeten of braken</w:t>
      </w:r>
    </w:p>
    <w:p w14:paraId="7BA10413" w14:textId="77777777" w:rsidR="00285B13" w:rsidRPr="00CD4E37" w:rsidRDefault="00285B13" w:rsidP="00891282">
      <w:pPr>
        <w:tabs>
          <w:tab w:val="clear" w:pos="567"/>
        </w:tabs>
        <w:spacing w:line="240" w:lineRule="auto"/>
        <w:rPr>
          <w:szCs w:val="22"/>
          <w:lang w:val="nl-NL"/>
        </w:rPr>
      </w:pPr>
      <w:r w:rsidRPr="00CD4E37">
        <w:rPr>
          <w:szCs w:val="22"/>
          <w:lang w:val="nl-NL"/>
        </w:rPr>
        <w:t>Als een dosis VANFLYTA vergeten is of niet op het gebruikelijke tijdstip ingenomen is, moet de patiënt de dosis zo snel mogelijk op dezelfde dag innemen en de volgende dag het gebruikelijke schema hervatten. De patiënt mag geen twee doses op dezelfde dag innemen.</w:t>
      </w:r>
    </w:p>
    <w:p w14:paraId="6B264B3B" w14:textId="77777777" w:rsidR="00285B13" w:rsidRPr="00CD4E37" w:rsidRDefault="00285B13" w:rsidP="00891282">
      <w:pPr>
        <w:tabs>
          <w:tab w:val="clear" w:pos="567"/>
        </w:tabs>
        <w:spacing w:line="240" w:lineRule="auto"/>
        <w:rPr>
          <w:szCs w:val="22"/>
          <w:lang w:val="nl-NL"/>
        </w:rPr>
      </w:pPr>
    </w:p>
    <w:p w14:paraId="3720F9DD" w14:textId="77777777" w:rsidR="00285B13" w:rsidRPr="00CD4E37" w:rsidRDefault="00285B13" w:rsidP="00891282">
      <w:pPr>
        <w:tabs>
          <w:tab w:val="clear" w:pos="567"/>
        </w:tabs>
        <w:spacing w:line="240" w:lineRule="auto"/>
        <w:rPr>
          <w:szCs w:val="22"/>
          <w:lang w:val="nl-NL"/>
        </w:rPr>
      </w:pPr>
      <w:r w:rsidRPr="00CD4E37">
        <w:rPr>
          <w:szCs w:val="22"/>
          <w:lang w:val="nl-NL"/>
        </w:rPr>
        <w:t>Als de patiënt na inname van VANFLYTA moet braken, mag de patiënt die dag geen aanvullende dosis innemen, maar moet de patiënt de volgende dosis de volgende dag op het gebruikelijke tijdstip innemen.</w:t>
      </w:r>
    </w:p>
    <w:p w14:paraId="071E6EA0" w14:textId="77777777" w:rsidR="00285B13" w:rsidRPr="00CD4E37" w:rsidRDefault="00285B13" w:rsidP="00891282">
      <w:pPr>
        <w:tabs>
          <w:tab w:val="clear" w:pos="567"/>
        </w:tabs>
        <w:spacing w:line="240" w:lineRule="auto"/>
        <w:rPr>
          <w:szCs w:val="22"/>
          <w:lang w:val="nl-NL"/>
        </w:rPr>
      </w:pPr>
    </w:p>
    <w:p w14:paraId="3586B3B6" w14:textId="77777777" w:rsidR="00285B13" w:rsidRPr="00CD4E37" w:rsidRDefault="00285B13" w:rsidP="00891282">
      <w:pPr>
        <w:keepNext/>
        <w:tabs>
          <w:tab w:val="clear" w:pos="567"/>
        </w:tabs>
        <w:spacing w:line="240" w:lineRule="auto"/>
        <w:rPr>
          <w:i/>
          <w:szCs w:val="22"/>
          <w:lang w:val="nl-NL"/>
        </w:rPr>
      </w:pPr>
      <w:r w:rsidRPr="00CD4E37">
        <w:rPr>
          <w:u w:val="single"/>
          <w:lang w:val="nl-NL"/>
        </w:rPr>
        <w:t>Speciale populaties</w:t>
      </w:r>
    </w:p>
    <w:p w14:paraId="0BA920D1" w14:textId="77777777" w:rsidR="00285B13" w:rsidRPr="00CD4E37" w:rsidRDefault="00285B13" w:rsidP="00891282">
      <w:pPr>
        <w:keepNext/>
        <w:tabs>
          <w:tab w:val="clear" w:pos="567"/>
        </w:tabs>
        <w:spacing w:line="240" w:lineRule="auto"/>
        <w:rPr>
          <w:szCs w:val="22"/>
          <w:lang w:val="nl-NL"/>
        </w:rPr>
      </w:pPr>
    </w:p>
    <w:p w14:paraId="725CA147" w14:textId="77777777" w:rsidR="00285B13" w:rsidRPr="00CD4E37" w:rsidRDefault="00285B13" w:rsidP="00891282">
      <w:pPr>
        <w:keepNext/>
        <w:tabs>
          <w:tab w:val="clear" w:pos="567"/>
        </w:tabs>
        <w:spacing w:line="240" w:lineRule="auto"/>
        <w:rPr>
          <w:i/>
          <w:szCs w:val="22"/>
          <w:u w:val="single"/>
          <w:lang w:val="nl-NL"/>
        </w:rPr>
      </w:pPr>
      <w:r w:rsidRPr="00CD4E37">
        <w:rPr>
          <w:i/>
          <w:iCs/>
          <w:lang w:val="nl-NL"/>
        </w:rPr>
        <w:t>Ouderen</w:t>
      </w:r>
    </w:p>
    <w:p w14:paraId="66A41933" w14:textId="77777777" w:rsidR="00285B13" w:rsidRPr="00CD4E37" w:rsidRDefault="00285B13" w:rsidP="00891282">
      <w:pPr>
        <w:tabs>
          <w:tab w:val="clear" w:pos="567"/>
        </w:tabs>
        <w:spacing w:line="240" w:lineRule="auto"/>
        <w:rPr>
          <w:iCs/>
          <w:szCs w:val="22"/>
          <w:lang w:val="nl-NL"/>
        </w:rPr>
      </w:pPr>
      <w:r w:rsidRPr="00CD4E37">
        <w:rPr>
          <w:szCs w:val="22"/>
          <w:lang w:val="nl-NL"/>
        </w:rPr>
        <w:t>Er is geen dosisaanpassing nodig bij ouderen.</w:t>
      </w:r>
    </w:p>
    <w:p w14:paraId="4067B5D5" w14:textId="77777777" w:rsidR="00285B13" w:rsidRPr="00CD4E37" w:rsidRDefault="00285B13" w:rsidP="00891282">
      <w:pPr>
        <w:tabs>
          <w:tab w:val="clear" w:pos="567"/>
        </w:tabs>
        <w:spacing w:line="240" w:lineRule="auto"/>
        <w:rPr>
          <w:szCs w:val="22"/>
          <w:lang w:val="nl-NL"/>
        </w:rPr>
      </w:pPr>
    </w:p>
    <w:p w14:paraId="65B79354" w14:textId="77777777" w:rsidR="00285B13" w:rsidRPr="00CD4E37" w:rsidRDefault="00285B13" w:rsidP="00891282">
      <w:pPr>
        <w:keepNext/>
        <w:tabs>
          <w:tab w:val="clear" w:pos="567"/>
        </w:tabs>
        <w:spacing w:line="240" w:lineRule="auto"/>
        <w:rPr>
          <w:i/>
          <w:szCs w:val="22"/>
          <w:u w:val="single"/>
          <w:lang w:val="nl-NL"/>
        </w:rPr>
      </w:pPr>
      <w:r w:rsidRPr="00CD4E37">
        <w:rPr>
          <w:i/>
          <w:iCs/>
          <w:lang w:val="nl-NL"/>
        </w:rPr>
        <w:t>Leverfunctiestoornis</w:t>
      </w:r>
    </w:p>
    <w:p w14:paraId="4E9BED62" w14:textId="77777777" w:rsidR="00285B13" w:rsidRPr="00CD4E37" w:rsidRDefault="00285B13" w:rsidP="00891282">
      <w:pPr>
        <w:tabs>
          <w:tab w:val="clear" w:pos="567"/>
        </w:tabs>
        <w:spacing w:line="240" w:lineRule="auto"/>
        <w:rPr>
          <w:lang w:val="nl-NL"/>
        </w:rPr>
      </w:pPr>
      <w:bookmarkStart w:id="12" w:name="_Hlk97203908"/>
      <w:r w:rsidRPr="00CD4E37">
        <w:rPr>
          <w:lang w:val="nl-NL"/>
        </w:rPr>
        <w:t>Er wordt geen dosisaanpassing aanbevolen bij patiënten met een lichte of matige leverfunctiestoornis.</w:t>
      </w:r>
    </w:p>
    <w:p w14:paraId="4EEEA9B5" w14:textId="77777777" w:rsidR="00285B13" w:rsidRPr="00CD4E37" w:rsidRDefault="00285B13" w:rsidP="00891282">
      <w:pPr>
        <w:tabs>
          <w:tab w:val="clear" w:pos="567"/>
        </w:tabs>
        <w:spacing w:line="240" w:lineRule="auto"/>
        <w:rPr>
          <w:lang w:val="nl-NL"/>
        </w:rPr>
      </w:pPr>
    </w:p>
    <w:bookmarkEnd w:id="12"/>
    <w:p w14:paraId="34F16E2E" w14:textId="77777777" w:rsidR="00285B13" w:rsidRPr="00CD4E37" w:rsidRDefault="00285B13" w:rsidP="00891282">
      <w:pPr>
        <w:tabs>
          <w:tab w:val="clear" w:pos="567"/>
        </w:tabs>
        <w:spacing w:line="240" w:lineRule="auto"/>
        <w:rPr>
          <w:lang w:val="nl-NL"/>
        </w:rPr>
      </w:pPr>
      <w:r w:rsidRPr="00CD4E37">
        <w:rPr>
          <w:lang w:val="nl-NL"/>
        </w:rPr>
        <w:t>VANFLYTA wordt niet aanbevolen voor gebruik bij patiënten met een ernstige leverfunctiestoornis (Child-Pugh-klasse C), omdat de veiligheid en werkzaamheid niet zijn vastgesteld bij deze populatie.</w:t>
      </w:r>
    </w:p>
    <w:p w14:paraId="2D1CA3FE" w14:textId="77777777" w:rsidR="00285B13" w:rsidRPr="00CD4E37" w:rsidRDefault="00285B13" w:rsidP="00891282">
      <w:pPr>
        <w:tabs>
          <w:tab w:val="clear" w:pos="567"/>
        </w:tabs>
        <w:spacing w:line="240" w:lineRule="auto"/>
        <w:rPr>
          <w:szCs w:val="22"/>
          <w:lang w:val="nl-NL"/>
        </w:rPr>
      </w:pPr>
    </w:p>
    <w:p w14:paraId="3ECC137A" w14:textId="77777777" w:rsidR="00285B13" w:rsidRPr="00CD4E37" w:rsidRDefault="00285B13" w:rsidP="00891282">
      <w:pPr>
        <w:keepNext/>
        <w:tabs>
          <w:tab w:val="clear" w:pos="567"/>
        </w:tabs>
        <w:spacing w:line="240" w:lineRule="auto"/>
        <w:rPr>
          <w:i/>
          <w:szCs w:val="22"/>
          <w:u w:val="single"/>
          <w:lang w:val="nl-NL"/>
        </w:rPr>
      </w:pPr>
      <w:r w:rsidRPr="00CD4E37">
        <w:rPr>
          <w:i/>
          <w:iCs/>
          <w:lang w:val="nl-NL"/>
        </w:rPr>
        <w:t>Nierfunctiestoornis</w:t>
      </w:r>
    </w:p>
    <w:p w14:paraId="3613FEBF" w14:textId="77777777" w:rsidR="00285B13" w:rsidRPr="00CD4E37" w:rsidRDefault="00285B13" w:rsidP="00891282">
      <w:pPr>
        <w:tabs>
          <w:tab w:val="clear" w:pos="567"/>
        </w:tabs>
        <w:spacing w:line="240" w:lineRule="auto"/>
        <w:rPr>
          <w:iCs/>
          <w:szCs w:val="22"/>
          <w:lang w:val="nl-NL"/>
        </w:rPr>
      </w:pPr>
      <w:r w:rsidRPr="00CD4E37">
        <w:rPr>
          <w:szCs w:val="22"/>
          <w:lang w:val="nl-NL"/>
        </w:rPr>
        <w:t>Er wordt geen dosisaanpassing aanbevolen bij patiënten met een lichte of matige nierfunctiestoornis.</w:t>
      </w:r>
    </w:p>
    <w:p w14:paraId="3820AD8B" w14:textId="77777777" w:rsidR="00285B13" w:rsidRPr="00CD4E37" w:rsidRDefault="00285B13" w:rsidP="00891282">
      <w:pPr>
        <w:tabs>
          <w:tab w:val="clear" w:pos="567"/>
        </w:tabs>
        <w:spacing w:line="240" w:lineRule="auto"/>
        <w:rPr>
          <w:lang w:val="nl-NL"/>
        </w:rPr>
      </w:pPr>
    </w:p>
    <w:p w14:paraId="58AE8443" w14:textId="77777777" w:rsidR="00285B13" w:rsidRPr="00CD4E37" w:rsidRDefault="00285B13" w:rsidP="00BE5247">
      <w:pPr>
        <w:tabs>
          <w:tab w:val="clear" w:pos="567"/>
        </w:tabs>
        <w:spacing w:line="240" w:lineRule="auto"/>
        <w:rPr>
          <w:lang w:val="nl-NL"/>
        </w:rPr>
      </w:pPr>
      <w:r w:rsidRPr="00CD4E37">
        <w:rPr>
          <w:lang w:val="nl-NL"/>
        </w:rPr>
        <w:t xml:space="preserve">VANFLYTA wordt niet aanbevolen voor gebruik bij patiënten met een ernstige nierfunctiestoornis (CLcr &lt; 30 ml/min, </w:t>
      </w:r>
      <w:r w:rsidRPr="00CD4E37">
        <w:rPr>
          <w:szCs w:val="24"/>
          <w:lang w:val="nl-NL"/>
        </w:rPr>
        <w:t>geschat aan de hand van de formule van Cockcroft-Gault</w:t>
      </w:r>
      <w:r w:rsidRPr="00CD4E37">
        <w:rPr>
          <w:lang w:val="nl-NL"/>
        </w:rPr>
        <w:t>), omdat de veiligheid en werkzaamheid niet zijn vastgesteld bij deze populatie.</w:t>
      </w:r>
    </w:p>
    <w:p w14:paraId="3A14E538" w14:textId="77777777" w:rsidR="00285B13" w:rsidRPr="00CD4E37" w:rsidRDefault="00285B13" w:rsidP="00891282">
      <w:pPr>
        <w:tabs>
          <w:tab w:val="clear" w:pos="567"/>
        </w:tabs>
        <w:spacing w:line="240" w:lineRule="auto"/>
        <w:rPr>
          <w:szCs w:val="22"/>
          <w:lang w:val="nl-NL"/>
        </w:rPr>
      </w:pPr>
    </w:p>
    <w:p w14:paraId="4EAA57E1" w14:textId="77777777" w:rsidR="00285B13" w:rsidRPr="00CD4E37" w:rsidRDefault="00285B13" w:rsidP="00891282">
      <w:pPr>
        <w:keepNext/>
        <w:tabs>
          <w:tab w:val="clear" w:pos="567"/>
        </w:tabs>
        <w:spacing w:line="240" w:lineRule="auto"/>
        <w:rPr>
          <w:lang w:val="nl-NL"/>
        </w:rPr>
      </w:pPr>
      <w:r w:rsidRPr="00CD4E37">
        <w:rPr>
          <w:i/>
          <w:iCs/>
          <w:lang w:val="nl-NL"/>
        </w:rPr>
        <w:t>Pediatrische patiënten</w:t>
      </w:r>
    </w:p>
    <w:p w14:paraId="77FA37F7" w14:textId="77777777" w:rsidR="00285B13" w:rsidRPr="00CD4E37" w:rsidRDefault="00285B13" w:rsidP="00891282">
      <w:pPr>
        <w:tabs>
          <w:tab w:val="clear" w:pos="567"/>
        </w:tabs>
        <w:spacing w:line="240" w:lineRule="auto"/>
        <w:rPr>
          <w:szCs w:val="22"/>
          <w:lang w:val="nl-NL"/>
        </w:rPr>
      </w:pPr>
      <w:r w:rsidRPr="00CD4E37">
        <w:rPr>
          <w:szCs w:val="22"/>
          <w:lang w:val="nl-NL"/>
        </w:rPr>
        <w:t>De veiligheid en werkzaamheid van VANFLYTA bij kinderen en adolescenten jonger dan 18 jaar zijn niet vastgesteld (zie rubriek 5.1). Er zijn geen gegevens beschikbaar.</w:t>
      </w:r>
    </w:p>
    <w:p w14:paraId="5541E7C7" w14:textId="77777777" w:rsidR="00285B13" w:rsidRPr="00CD4E37" w:rsidRDefault="00285B13" w:rsidP="00891282">
      <w:pPr>
        <w:tabs>
          <w:tab w:val="clear" w:pos="567"/>
        </w:tabs>
        <w:spacing w:line="240" w:lineRule="auto"/>
        <w:rPr>
          <w:szCs w:val="22"/>
          <w:lang w:val="nl-NL"/>
        </w:rPr>
      </w:pPr>
    </w:p>
    <w:p w14:paraId="5C65B09B"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Wijze van toediening</w:t>
      </w:r>
    </w:p>
    <w:p w14:paraId="4435190D" w14:textId="77777777" w:rsidR="00285B13" w:rsidRPr="00CD4E37" w:rsidRDefault="00285B13" w:rsidP="00891282">
      <w:pPr>
        <w:keepNext/>
        <w:tabs>
          <w:tab w:val="clear" w:pos="567"/>
        </w:tabs>
        <w:spacing w:line="240" w:lineRule="auto"/>
        <w:rPr>
          <w:szCs w:val="22"/>
          <w:lang w:val="nl-NL"/>
        </w:rPr>
      </w:pPr>
    </w:p>
    <w:p w14:paraId="440EF365" w14:textId="77777777" w:rsidR="00285B13" w:rsidRPr="00CD4E37" w:rsidRDefault="00285B13" w:rsidP="00891282">
      <w:pPr>
        <w:tabs>
          <w:tab w:val="clear" w:pos="567"/>
        </w:tabs>
        <w:spacing w:line="240" w:lineRule="auto"/>
        <w:rPr>
          <w:szCs w:val="22"/>
          <w:lang w:val="nl-NL"/>
        </w:rPr>
      </w:pPr>
      <w:r w:rsidRPr="00CD4E37">
        <w:rPr>
          <w:szCs w:val="22"/>
          <w:lang w:val="nl-NL"/>
        </w:rPr>
        <w:t>VANFLYTA is bestemd voor oraal gebruik.</w:t>
      </w:r>
    </w:p>
    <w:p w14:paraId="0C9C4435" w14:textId="77777777" w:rsidR="00285B13" w:rsidRPr="00CD4E37" w:rsidRDefault="00285B13" w:rsidP="00891282">
      <w:pPr>
        <w:tabs>
          <w:tab w:val="clear" w:pos="567"/>
        </w:tabs>
        <w:spacing w:line="240" w:lineRule="auto"/>
        <w:rPr>
          <w:szCs w:val="22"/>
          <w:lang w:val="nl-NL"/>
        </w:rPr>
      </w:pPr>
      <w:r w:rsidRPr="00CD4E37">
        <w:rPr>
          <w:szCs w:val="22"/>
          <w:lang w:val="nl-NL"/>
        </w:rPr>
        <w:t>De tabletten moeten elke dag op ongeveer hetzelfde tijdstip worden ingenomen met of zonder voedsel.</w:t>
      </w:r>
    </w:p>
    <w:p w14:paraId="61F168EA" w14:textId="77777777" w:rsidR="00285B13" w:rsidRPr="00CD4E37" w:rsidRDefault="00285B13" w:rsidP="00891282">
      <w:pPr>
        <w:tabs>
          <w:tab w:val="clear" w:pos="567"/>
        </w:tabs>
        <w:spacing w:line="240" w:lineRule="auto"/>
        <w:rPr>
          <w:szCs w:val="22"/>
          <w:lang w:val="nl-NL"/>
        </w:rPr>
      </w:pPr>
    </w:p>
    <w:p w14:paraId="0552B3AD" w14:textId="77777777" w:rsidR="00285B13" w:rsidRPr="00CD4E37" w:rsidRDefault="00285B13" w:rsidP="00891282">
      <w:pPr>
        <w:keepNext/>
        <w:spacing w:line="240" w:lineRule="auto"/>
        <w:ind w:left="567" w:hanging="567"/>
        <w:rPr>
          <w:szCs w:val="22"/>
          <w:lang w:val="nl-NL"/>
        </w:rPr>
      </w:pPr>
      <w:r w:rsidRPr="00CD4E37">
        <w:rPr>
          <w:b/>
          <w:bCs/>
          <w:szCs w:val="22"/>
          <w:lang w:val="nl-NL"/>
        </w:rPr>
        <w:t>4.3</w:t>
      </w:r>
      <w:r w:rsidRPr="00CD4E37">
        <w:rPr>
          <w:b/>
          <w:bCs/>
          <w:szCs w:val="22"/>
          <w:lang w:val="nl-NL"/>
        </w:rPr>
        <w:tab/>
        <w:t>Contra-indicaties</w:t>
      </w:r>
    </w:p>
    <w:p w14:paraId="50C39F15" w14:textId="77777777" w:rsidR="00285B13" w:rsidRPr="00CD4E37" w:rsidRDefault="00285B13" w:rsidP="00891282">
      <w:pPr>
        <w:keepNext/>
        <w:tabs>
          <w:tab w:val="clear" w:pos="567"/>
        </w:tabs>
        <w:spacing w:line="240" w:lineRule="auto"/>
        <w:rPr>
          <w:iCs/>
          <w:szCs w:val="22"/>
          <w:lang w:val="nl-NL"/>
        </w:rPr>
      </w:pPr>
    </w:p>
    <w:p w14:paraId="7BBABB0C" w14:textId="77777777" w:rsidR="00285B13" w:rsidRPr="00CD4E37" w:rsidRDefault="00285B13" w:rsidP="00891282">
      <w:pPr>
        <w:numPr>
          <w:ilvl w:val="0"/>
          <w:numId w:val="3"/>
        </w:numPr>
        <w:tabs>
          <w:tab w:val="clear" w:pos="567"/>
        </w:tabs>
        <w:spacing w:line="240" w:lineRule="auto"/>
        <w:ind w:left="567" w:hanging="567"/>
        <w:rPr>
          <w:szCs w:val="22"/>
          <w:lang w:val="nl-NL"/>
        </w:rPr>
      </w:pPr>
      <w:r w:rsidRPr="00CD4E37">
        <w:rPr>
          <w:szCs w:val="22"/>
          <w:lang w:val="nl-NL"/>
        </w:rPr>
        <w:t>Overgevoeligheid voor de werkzame stof of voor een van de in rubriek 6.1 vermelde hulpstof(fen).</w:t>
      </w:r>
    </w:p>
    <w:p w14:paraId="45A6B412" w14:textId="21577A41" w:rsidR="00285B13" w:rsidRPr="00CD4E37" w:rsidRDefault="00285B13" w:rsidP="00891282">
      <w:pPr>
        <w:numPr>
          <w:ilvl w:val="0"/>
          <w:numId w:val="3"/>
        </w:numPr>
        <w:tabs>
          <w:tab w:val="clear" w:pos="567"/>
        </w:tabs>
        <w:spacing w:line="240" w:lineRule="auto"/>
        <w:ind w:left="567" w:hanging="567"/>
        <w:rPr>
          <w:szCs w:val="22"/>
          <w:lang w:val="nl-NL"/>
        </w:rPr>
      </w:pPr>
      <w:r w:rsidRPr="00CD4E37">
        <w:rPr>
          <w:szCs w:val="22"/>
          <w:lang w:val="nl-NL"/>
        </w:rPr>
        <w:lastRenderedPageBreak/>
        <w:t>Congenitaal lang-QT-syndroom (zie rubriek 4.4).</w:t>
      </w:r>
    </w:p>
    <w:p w14:paraId="2756E1FE" w14:textId="77777777" w:rsidR="00285B13" w:rsidRPr="00CD4E37" w:rsidRDefault="00285B13" w:rsidP="00891282">
      <w:pPr>
        <w:numPr>
          <w:ilvl w:val="0"/>
          <w:numId w:val="3"/>
        </w:numPr>
        <w:tabs>
          <w:tab w:val="clear" w:pos="567"/>
        </w:tabs>
        <w:spacing w:line="240" w:lineRule="auto"/>
        <w:ind w:left="567" w:hanging="567"/>
        <w:rPr>
          <w:szCs w:val="22"/>
          <w:lang w:val="nl-NL"/>
        </w:rPr>
      </w:pPr>
      <w:r w:rsidRPr="00CD4E37">
        <w:rPr>
          <w:szCs w:val="22"/>
          <w:lang w:val="nl-NL"/>
        </w:rPr>
        <w:t>Geven van borstvoeding (zie rubriek 4.6).</w:t>
      </w:r>
    </w:p>
    <w:p w14:paraId="4B28A3BE" w14:textId="77777777" w:rsidR="00285B13" w:rsidRPr="00CD4E37" w:rsidRDefault="00285B13" w:rsidP="00891282">
      <w:pPr>
        <w:tabs>
          <w:tab w:val="clear" w:pos="567"/>
        </w:tabs>
        <w:spacing w:line="240" w:lineRule="auto"/>
        <w:rPr>
          <w:iCs/>
          <w:szCs w:val="22"/>
          <w:lang w:val="nl-NL"/>
        </w:rPr>
      </w:pPr>
    </w:p>
    <w:p w14:paraId="711E7B06" w14:textId="77777777" w:rsidR="00285B13" w:rsidRPr="00CD4E37" w:rsidRDefault="00285B13" w:rsidP="00891282">
      <w:pPr>
        <w:keepNext/>
        <w:spacing w:line="240" w:lineRule="auto"/>
        <w:ind w:left="567" w:hanging="567"/>
        <w:rPr>
          <w:b/>
          <w:szCs w:val="22"/>
          <w:lang w:val="nl-NL"/>
        </w:rPr>
      </w:pPr>
      <w:r w:rsidRPr="00CD4E37">
        <w:rPr>
          <w:b/>
          <w:bCs/>
          <w:szCs w:val="22"/>
          <w:lang w:val="nl-NL"/>
        </w:rPr>
        <w:t>4.4</w:t>
      </w:r>
      <w:r w:rsidRPr="00CD4E37">
        <w:rPr>
          <w:b/>
          <w:bCs/>
          <w:szCs w:val="22"/>
          <w:lang w:val="nl-NL"/>
        </w:rPr>
        <w:tab/>
        <w:t>Bijzondere waarschuwingen en voorzorgen bij gebruik</w:t>
      </w:r>
    </w:p>
    <w:p w14:paraId="39628E90" w14:textId="77777777" w:rsidR="00285B13" w:rsidRPr="00CD4E37" w:rsidRDefault="00285B13" w:rsidP="00891282">
      <w:pPr>
        <w:keepNext/>
        <w:tabs>
          <w:tab w:val="clear" w:pos="567"/>
        </w:tabs>
        <w:spacing w:line="240" w:lineRule="auto"/>
        <w:rPr>
          <w:iCs/>
          <w:szCs w:val="22"/>
          <w:lang w:val="nl-NL"/>
        </w:rPr>
      </w:pPr>
    </w:p>
    <w:p w14:paraId="15040E0C"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Verlenging van het QT-interval</w:t>
      </w:r>
    </w:p>
    <w:p w14:paraId="579B8CC5" w14:textId="77777777" w:rsidR="00285B13" w:rsidRPr="00CD4E37" w:rsidRDefault="00285B13" w:rsidP="00891282">
      <w:pPr>
        <w:keepNext/>
        <w:tabs>
          <w:tab w:val="clear" w:pos="567"/>
        </w:tabs>
        <w:spacing w:line="240" w:lineRule="auto"/>
        <w:rPr>
          <w:szCs w:val="22"/>
          <w:lang w:val="nl-NL"/>
        </w:rPr>
      </w:pPr>
    </w:p>
    <w:p w14:paraId="05743411" w14:textId="4EF1314C" w:rsidR="00285B13" w:rsidRPr="00CD4E37" w:rsidRDefault="00285B13" w:rsidP="00891282">
      <w:pPr>
        <w:tabs>
          <w:tab w:val="clear" w:pos="567"/>
        </w:tabs>
        <w:spacing w:line="240" w:lineRule="auto"/>
        <w:rPr>
          <w:szCs w:val="22"/>
          <w:lang w:val="nl-NL"/>
        </w:rPr>
      </w:pPr>
      <w:r w:rsidRPr="00CD4E37">
        <w:rPr>
          <w:szCs w:val="22"/>
          <w:lang w:val="nl-NL"/>
        </w:rPr>
        <w:t>Quizartinib is in verband gebracht met verlenging van het QT-interval</w:t>
      </w:r>
      <w:r w:rsidR="00CB0130" w:rsidRPr="00CD4E37">
        <w:rPr>
          <w:szCs w:val="22"/>
          <w:lang w:val="nl-NL"/>
        </w:rPr>
        <w:t xml:space="preserve"> (zie rubriek 4.8)</w:t>
      </w:r>
      <w:r w:rsidRPr="00CD4E37">
        <w:rPr>
          <w:szCs w:val="22"/>
          <w:lang w:val="nl-NL"/>
        </w:rPr>
        <w:t xml:space="preserve">. Verlenging van het QT-interval kan leiden tot een groter risico op ventrikelaritmieën of torsade de pointes. </w:t>
      </w:r>
      <w:bookmarkStart w:id="13" w:name="_Hlk94105550"/>
      <w:bookmarkStart w:id="14" w:name="_Hlk89171698"/>
      <w:r w:rsidRPr="00CD4E37">
        <w:rPr>
          <w:szCs w:val="22"/>
          <w:lang w:val="nl-NL"/>
        </w:rPr>
        <w:t>Patiënten met congenitaal lang-QT-syndroom en/of een voorgeschiedenis van torsade de pointes werden uitgesloten van het ontwikkelingsprogramma van quizartinib. VANFLYTA mag niet worden gebruikt bij patiënten met congenitaal lang-QT-syndroom.</w:t>
      </w:r>
    </w:p>
    <w:bookmarkEnd w:id="13"/>
    <w:p w14:paraId="55FE2320" w14:textId="77777777" w:rsidR="00285B13" w:rsidRPr="00CD4E37" w:rsidRDefault="00285B13" w:rsidP="00891282">
      <w:pPr>
        <w:tabs>
          <w:tab w:val="clear" w:pos="567"/>
        </w:tabs>
        <w:spacing w:line="240" w:lineRule="auto"/>
        <w:rPr>
          <w:szCs w:val="22"/>
          <w:lang w:val="nl-NL"/>
        </w:rPr>
      </w:pPr>
    </w:p>
    <w:p w14:paraId="11967040" w14:textId="768F34E8" w:rsidR="00285B13" w:rsidRPr="00CD4E37" w:rsidRDefault="00285B13" w:rsidP="00891282">
      <w:pPr>
        <w:tabs>
          <w:tab w:val="clear" w:pos="567"/>
        </w:tabs>
        <w:spacing w:line="240" w:lineRule="auto"/>
        <w:rPr>
          <w:szCs w:val="22"/>
          <w:lang w:val="nl-NL"/>
        </w:rPr>
      </w:pPr>
      <w:r w:rsidRPr="00CD4E37">
        <w:rPr>
          <w:szCs w:val="22"/>
          <w:lang w:val="nl-NL"/>
        </w:rPr>
        <w:t xml:space="preserve">VANFLYTA moet met voorzichtigheid worden gebruikt bij patiënten die een significant risico lopen op het ontwikkelen van verlenging van het QT-interval. Dit zijn onder andere patiënten met een ongecontroleerde of significante cardiovasculaire aandoening (bijv. een voorgeschiedenis van tweede- of derdegraads hartblok </w:t>
      </w:r>
      <w:r w:rsidR="0037057A">
        <w:rPr>
          <w:szCs w:val="22"/>
          <w:lang w:val="nl-NL"/>
        </w:rPr>
        <w:t>[</w:t>
      </w:r>
      <w:r w:rsidRPr="00CD4E37">
        <w:rPr>
          <w:szCs w:val="22"/>
          <w:lang w:val="nl-NL"/>
        </w:rPr>
        <w:t>zonder pacemaker</w:t>
      </w:r>
      <w:r w:rsidR="0037057A">
        <w:rPr>
          <w:szCs w:val="22"/>
          <w:lang w:val="nl-NL"/>
        </w:rPr>
        <w:t>]</w:t>
      </w:r>
      <w:r w:rsidRPr="00CD4E37">
        <w:rPr>
          <w:szCs w:val="22"/>
          <w:lang w:val="nl-NL"/>
        </w:rPr>
        <w:t xml:space="preserve">, myocardinfarct </w:t>
      </w:r>
      <w:r w:rsidR="00926CEF">
        <w:rPr>
          <w:szCs w:val="22"/>
          <w:lang w:val="nl-NL"/>
        </w:rPr>
        <w:t>in de afgelopen</w:t>
      </w:r>
      <w:r w:rsidR="00926CEF" w:rsidRPr="00CD4E37">
        <w:rPr>
          <w:szCs w:val="22"/>
          <w:lang w:val="nl-NL"/>
        </w:rPr>
        <w:t xml:space="preserve"> </w:t>
      </w:r>
      <w:r w:rsidRPr="00CD4E37">
        <w:rPr>
          <w:szCs w:val="22"/>
          <w:lang w:val="nl-NL"/>
        </w:rPr>
        <w:t>6 maanden, ongecontroleerde angina pectoris, ongecontroleerde hypertensie, congestief hartfalen, voorgeschiedenis van klinisch relevante ventrikelaritmieën of torsade de pointes), en patiënten die gelijktijdig worden behandeld met geneesmiddelen waarvan bekend is dat ze het QT-interval verlengen. Elektrolyten moeten binnen het normale bereik worden gehouden (zie rubriek 4.2).</w:t>
      </w:r>
    </w:p>
    <w:bookmarkEnd w:id="14"/>
    <w:p w14:paraId="535CF0C2" w14:textId="77777777" w:rsidR="00285B13" w:rsidRPr="00CD4E37" w:rsidRDefault="00285B13" w:rsidP="00891282">
      <w:pPr>
        <w:tabs>
          <w:tab w:val="clear" w:pos="567"/>
        </w:tabs>
        <w:spacing w:line="240" w:lineRule="auto"/>
        <w:rPr>
          <w:szCs w:val="22"/>
          <w:lang w:val="nl-NL"/>
        </w:rPr>
      </w:pPr>
    </w:p>
    <w:p w14:paraId="2F8D3472" w14:textId="77DF215B" w:rsidR="00285B13" w:rsidRPr="00CD4E37" w:rsidRDefault="00285B13" w:rsidP="00891282">
      <w:pPr>
        <w:tabs>
          <w:tab w:val="clear" w:pos="567"/>
        </w:tabs>
        <w:spacing w:line="240" w:lineRule="auto"/>
        <w:rPr>
          <w:szCs w:val="22"/>
          <w:lang w:val="nl-NL"/>
        </w:rPr>
      </w:pPr>
      <w:r w:rsidRPr="00CD4E37">
        <w:rPr>
          <w:szCs w:val="22"/>
          <w:lang w:val="nl-NL"/>
        </w:rPr>
        <w:t>Een behandeling met VANFLYTA mag niet worden gestart als het QTcF-interval langer is dan 450 ms.</w:t>
      </w:r>
    </w:p>
    <w:p w14:paraId="5721B774" w14:textId="77777777" w:rsidR="00285B13" w:rsidRPr="00CD4E37" w:rsidRDefault="00285B13" w:rsidP="00891282">
      <w:pPr>
        <w:tabs>
          <w:tab w:val="clear" w:pos="567"/>
        </w:tabs>
        <w:spacing w:line="240" w:lineRule="auto"/>
        <w:rPr>
          <w:szCs w:val="22"/>
          <w:lang w:val="nl-NL"/>
        </w:rPr>
      </w:pPr>
    </w:p>
    <w:p w14:paraId="4387C644" w14:textId="77777777" w:rsidR="00285B13" w:rsidRPr="00CD4E37" w:rsidRDefault="00285B13" w:rsidP="00891282">
      <w:pPr>
        <w:tabs>
          <w:tab w:val="clear" w:pos="567"/>
        </w:tabs>
        <w:spacing w:line="240" w:lineRule="auto"/>
        <w:rPr>
          <w:szCs w:val="22"/>
          <w:lang w:val="nl-NL"/>
        </w:rPr>
      </w:pPr>
      <w:r w:rsidRPr="00CD4E37">
        <w:rPr>
          <w:szCs w:val="24"/>
          <w:lang w:val="nl-NL"/>
        </w:rPr>
        <w:t>Tijdens inductie en consolidatie moeten</w:t>
      </w:r>
      <w:r w:rsidRPr="00CD4E37">
        <w:rPr>
          <w:szCs w:val="22"/>
          <w:lang w:val="nl-NL"/>
        </w:rPr>
        <w:t xml:space="preserve"> ECG's worden uitgevoerd alvorens de behandeling in te stellen en vervolgens eenmaal per week tijdens de behandeling met quizartinib of vaker wanneer dit klinisch geïndiceerd is. </w:t>
      </w:r>
    </w:p>
    <w:p w14:paraId="4ACDF279" w14:textId="77777777" w:rsidR="00285B13" w:rsidRPr="00CD4E37" w:rsidRDefault="00285B13" w:rsidP="00891282">
      <w:pPr>
        <w:tabs>
          <w:tab w:val="clear" w:pos="567"/>
        </w:tabs>
        <w:spacing w:line="240" w:lineRule="auto"/>
        <w:rPr>
          <w:szCs w:val="22"/>
          <w:lang w:val="nl-NL"/>
        </w:rPr>
      </w:pPr>
    </w:p>
    <w:p w14:paraId="59DBE8A4" w14:textId="77777777" w:rsidR="00285B13" w:rsidRPr="00CD4E37" w:rsidRDefault="00285B13" w:rsidP="00891282">
      <w:pPr>
        <w:tabs>
          <w:tab w:val="clear" w:pos="567"/>
        </w:tabs>
        <w:spacing w:line="240" w:lineRule="auto"/>
        <w:rPr>
          <w:rFonts w:cstheme="minorHAnsi"/>
          <w:szCs w:val="24"/>
          <w:lang w:val="nl-NL"/>
        </w:rPr>
      </w:pPr>
      <w:r w:rsidRPr="00CD4E37">
        <w:rPr>
          <w:szCs w:val="24"/>
          <w:lang w:val="nl-NL"/>
        </w:rPr>
        <w:t xml:space="preserve">Tijdens de </w:t>
      </w:r>
      <w:r w:rsidRPr="00CD4E37">
        <w:rPr>
          <w:color w:val="000000"/>
          <w:lang w:val="nl-NL"/>
        </w:rPr>
        <w:t>onderhoudsbehandeling</w:t>
      </w:r>
      <w:r w:rsidRPr="00CD4E37">
        <w:rPr>
          <w:szCs w:val="24"/>
          <w:lang w:val="nl-NL"/>
        </w:rPr>
        <w:t xml:space="preserve"> moeten ECG's worden uitgevoerd alvorens de behandeling in te stellen en vervolgens eenmaal per week gedurende de eerste maand na het instellen en verhogen van de dosis, en daarna wanneer dit klinisch geïndiceerd is. De aanvangsdosis voor de onderhoudsbehandeling mag niet worden verhoogd indien het QTcF-interval langer is dan 450 ms (zie tabel</w:t>
      </w:r>
      <w:r w:rsidRPr="00CD4E37">
        <w:rPr>
          <w:lang w:val="nl-NL"/>
        </w:rPr>
        <w:t> </w:t>
      </w:r>
      <w:r w:rsidRPr="00CD4E37">
        <w:rPr>
          <w:szCs w:val="24"/>
          <w:lang w:val="nl-NL"/>
        </w:rPr>
        <w:t xml:space="preserve">1). </w:t>
      </w:r>
    </w:p>
    <w:p w14:paraId="6478CFDD" w14:textId="77777777" w:rsidR="00285B13" w:rsidRPr="00CD4E37" w:rsidRDefault="00285B13" w:rsidP="00891282">
      <w:pPr>
        <w:tabs>
          <w:tab w:val="clear" w:pos="567"/>
        </w:tabs>
        <w:spacing w:line="240" w:lineRule="auto"/>
        <w:rPr>
          <w:rFonts w:cstheme="minorHAnsi"/>
          <w:szCs w:val="24"/>
          <w:lang w:val="nl-NL"/>
        </w:rPr>
      </w:pPr>
    </w:p>
    <w:p w14:paraId="09CB4DE5" w14:textId="77777777" w:rsidR="00285B13" w:rsidRPr="00CD4E37" w:rsidRDefault="00285B13" w:rsidP="00891282">
      <w:pPr>
        <w:tabs>
          <w:tab w:val="clear" w:pos="567"/>
        </w:tabs>
        <w:spacing w:line="240" w:lineRule="auto"/>
        <w:rPr>
          <w:szCs w:val="22"/>
          <w:lang w:val="nl-NL"/>
        </w:rPr>
      </w:pPr>
      <w:r w:rsidRPr="00CD4E37">
        <w:rPr>
          <w:szCs w:val="22"/>
          <w:lang w:val="nl-NL"/>
        </w:rPr>
        <w:t>Behandeling met VANFLYTA moet definitief worden gestaakt bij patiënten die een verlenging van het QT-interval ontwikkelen met tekenen of symptomen van levensbedreigende aritmie (zie rubriek 4.2).</w:t>
      </w:r>
    </w:p>
    <w:p w14:paraId="5778004A" w14:textId="77777777" w:rsidR="00285B13" w:rsidRPr="00CD4E37" w:rsidRDefault="00285B13" w:rsidP="00891282">
      <w:pPr>
        <w:tabs>
          <w:tab w:val="clear" w:pos="567"/>
        </w:tabs>
        <w:spacing w:line="240" w:lineRule="auto"/>
        <w:rPr>
          <w:szCs w:val="22"/>
          <w:lang w:val="nl-NL"/>
        </w:rPr>
      </w:pPr>
    </w:p>
    <w:p w14:paraId="31AFF645" w14:textId="77777777" w:rsidR="00285B13" w:rsidRPr="00CD4E37" w:rsidRDefault="00285B13" w:rsidP="00891282">
      <w:pPr>
        <w:tabs>
          <w:tab w:val="clear" w:pos="567"/>
        </w:tabs>
        <w:spacing w:line="240" w:lineRule="auto"/>
        <w:rPr>
          <w:szCs w:val="22"/>
          <w:lang w:val="nl-NL"/>
        </w:rPr>
      </w:pPr>
      <w:r w:rsidRPr="00CD4E37">
        <w:rPr>
          <w:szCs w:val="22"/>
          <w:lang w:val="nl-NL"/>
        </w:rPr>
        <w:t>ECG-monitoring van het QT-interval moet vaker worden uitgevoerd bij patiënten die een significant risico lopen op het ontwikkelen van een verlenging van het QT-interval en torsade de pointes.</w:t>
      </w:r>
    </w:p>
    <w:p w14:paraId="4687714F" w14:textId="77777777" w:rsidR="00285B13" w:rsidRPr="00CD4E37" w:rsidRDefault="00285B13" w:rsidP="00891282">
      <w:pPr>
        <w:tabs>
          <w:tab w:val="clear" w:pos="567"/>
        </w:tabs>
        <w:spacing w:line="240" w:lineRule="auto"/>
        <w:rPr>
          <w:szCs w:val="22"/>
          <w:lang w:val="nl-NL"/>
        </w:rPr>
      </w:pPr>
    </w:p>
    <w:p w14:paraId="5512BF09" w14:textId="77777777" w:rsidR="00285B13" w:rsidRPr="00CD4E37" w:rsidRDefault="00285B13" w:rsidP="00891282">
      <w:pPr>
        <w:tabs>
          <w:tab w:val="clear" w:pos="567"/>
        </w:tabs>
        <w:spacing w:line="240" w:lineRule="auto"/>
        <w:rPr>
          <w:szCs w:val="22"/>
          <w:lang w:val="nl-NL"/>
        </w:rPr>
      </w:pPr>
      <w:r w:rsidRPr="00CD4E37">
        <w:rPr>
          <w:szCs w:val="22"/>
          <w:lang w:val="nl-NL"/>
        </w:rPr>
        <w:t>Monitoring en correctie van hypokaliëmie en hypomagnesiëmie moeten plaatsvinden vóór en tijdens behandeling met VANFLYTA. Monitoring van elektrolyten en ECG’s moeten vaker plaatsvinden bij patiënten met diarree of braken.</w:t>
      </w:r>
    </w:p>
    <w:p w14:paraId="4B37A638" w14:textId="77777777" w:rsidR="00285B13" w:rsidRPr="00CD4E37" w:rsidRDefault="00285B13" w:rsidP="00891282">
      <w:pPr>
        <w:tabs>
          <w:tab w:val="clear" w:pos="567"/>
        </w:tabs>
        <w:spacing w:line="240" w:lineRule="auto"/>
        <w:rPr>
          <w:szCs w:val="22"/>
          <w:lang w:val="nl-NL"/>
        </w:rPr>
      </w:pPr>
    </w:p>
    <w:p w14:paraId="30F0860A" w14:textId="2DBE54CE" w:rsidR="00285B13" w:rsidRPr="00CD4E37" w:rsidRDefault="00285B13" w:rsidP="00891282">
      <w:pPr>
        <w:keepNext/>
        <w:tabs>
          <w:tab w:val="clear" w:pos="567"/>
        </w:tabs>
        <w:spacing w:line="240" w:lineRule="auto"/>
        <w:rPr>
          <w:i/>
          <w:szCs w:val="22"/>
          <w:lang w:val="nl-NL"/>
        </w:rPr>
      </w:pPr>
      <w:r w:rsidRPr="00CD4E37">
        <w:rPr>
          <w:i/>
          <w:iCs/>
          <w:szCs w:val="22"/>
          <w:lang w:val="nl-NL"/>
        </w:rPr>
        <w:t xml:space="preserve">ECG-monitoring </w:t>
      </w:r>
      <w:r w:rsidR="00A900F2">
        <w:rPr>
          <w:i/>
          <w:iCs/>
          <w:szCs w:val="22"/>
          <w:lang w:val="nl-NL"/>
        </w:rPr>
        <w:t>bij</w:t>
      </w:r>
      <w:r w:rsidR="00A900F2" w:rsidRPr="00CD4E37">
        <w:rPr>
          <w:i/>
          <w:iCs/>
          <w:szCs w:val="22"/>
          <w:lang w:val="nl-NL"/>
        </w:rPr>
        <w:t xml:space="preserve"> </w:t>
      </w:r>
      <w:r w:rsidRPr="00CD4E37">
        <w:rPr>
          <w:i/>
          <w:iCs/>
          <w:szCs w:val="22"/>
          <w:lang w:val="nl-NL"/>
        </w:rPr>
        <w:t>geneesmiddelen die het QT-interval verlengen</w:t>
      </w:r>
    </w:p>
    <w:p w14:paraId="1653035B" w14:textId="1A9FD936" w:rsidR="00285B13" w:rsidRPr="00CD4E37" w:rsidRDefault="00285B13" w:rsidP="00891282">
      <w:pPr>
        <w:tabs>
          <w:tab w:val="clear" w:pos="567"/>
        </w:tabs>
        <w:spacing w:line="240" w:lineRule="auto"/>
        <w:rPr>
          <w:szCs w:val="22"/>
          <w:lang w:val="nl-NL"/>
        </w:rPr>
      </w:pPr>
      <w:r w:rsidRPr="00CD4E37">
        <w:rPr>
          <w:szCs w:val="22"/>
          <w:lang w:val="nl-NL"/>
        </w:rPr>
        <w:t>Monitoring van patiënten middels ECG moet vaker plaatsvinden als het noodzakelijk is VANFLYTA gelijktijdig toe te dienen met geneesmiddelen waarvan bekend is dat ze het QT-interval verlengen</w:t>
      </w:r>
      <w:r w:rsidR="00FA35B8" w:rsidRPr="00CD4E37">
        <w:rPr>
          <w:szCs w:val="22"/>
          <w:lang w:val="nl-NL"/>
        </w:rPr>
        <w:t xml:space="preserve"> (zie rubriek 4.5)</w:t>
      </w:r>
      <w:r w:rsidRPr="00CD4E37">
        <w:rPr>
          <w:szCs w:val="22"/>
          <w:lang w:val="nl-NL"/>
        </w:rPr>
        <w:t>.</w:t>
      </w:r>
    </w:p>
    <w:p w14:paraId="09B465BF" w14:textId="77777777" w:rsidR="00285B13" w:rsidRPr="00CD4E37" w:rsidRDefault="00285B13" w:rsidP="00891282">
      <w:pPr>
        <w:tabs>
          <w:tab w:val="clear" w:pos="567"/>
        </w:tabs>
        <w:spacing w:line="240" w:lineRule="auto"/>
        <w:rPr>
          <w:szCs w:val="22"/>
          <w:lang w:val="nl-NL"/>
        </w:rPr>
      </w:pPr>
    </w:p>
    <w:p w14:paraId="68AFFFE4"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Gelijktijdige toediening met sterke CYP3A-remmers</w:t>
      </w:r>
    </w:p>
    <w:p w14:paraId="42F8ADD0" w14:textId="79C82AEA" w:rsidR="00285B13" w:rsidRPr="00CD4E37" w:rsidRDefault="00285B13" w:rsidP="00891282">
      <w:pPr>
        <w:tabs>
          <w:tab w:val="clear" w:pos="567"/>
        </w:tabs>
        <w:spacing w:line="240" w:lineRule="auto"/>
        <w:rPr>
          <w:szCs w:val="22"/>
          <w:lang w:val="nl-NL"/>
        </w:rPr>
      </w:pPr>
      <w:r w:rsidRPr="00CD4E37">
        <w:rPr>
          <w:szCs w:val="22"/>
          <w:lang w:val="nl-NL"/>
        </w:rPr>
        <w:t>De dosis VANFLYTA moet worden verlaagd bij gelijktijdig gebruik met sterke CYP3A-remmers, omdat d</w:t>
      </w:r>
      <w:r w:rsidR="00964696">
        <w:rPr>
          <w:szCs w:val="22"/>
          <w:lang w:val="nl-NL"/>
        </w:rPr>
        <w:t>i</w:t>
      </w:r>
      <w:r w:rsidRPr="00CD4E37">
        <w:rPr>
          <w:szCs w:val="22"/>
          <w:lang w:val="nl-NL"/>
        </w:rPr>
        <w:t>e k</w:t>
      </w:r>
      <w:r w:rsidR="00964696">
        <w:rPr>
          <w:szCs w:val="22"/>
          <w:lang w:val="nl-NL"/>
        </w:rPr>
        <w:t>unnen</w:t>
      </w:r>
      <w:r w:rsidRPr="00CD4E37">
        <w:rPr>
          <w:szCs w:val="22"/>
          <w:lang w:val="nl-NL"/>
        </w:rPr>
        <w:t xml:space="preserve"> leiden tot een hogere blootstelling aan quizartinib (zie rubriek</w:t>
      </w:r>
      <w:r w:rsidR="00B86CCD" w:rsidRPr="00CD4E37">
        <w:rPr>
          <w:szCs w:val="22"/>
          <w:lang w:val="nl-NL"/>
        </w:rPr>
        <w:t>en</w:t>
      </w:r>
      <w:r w:rsidRPr="00CD4E37">
        <w:rPr>
          <w:szCs w:val="22"/>
          <w:lang w:val="nl-NL"/>
        </w:rPr>
        <w:t> 4.2</w:t>
      </w:r>
      <w:r w:rsidR="00FA35B8" w:rsidRPr="00CD4E37">
        <w:rPr>
          <w:szCs w:val="22"/>
          <w:lang w:val="nl-NL"/>
        </w:rPr>
        <w:t xml:space="preserve"> en 4.5</w:t>
      </w:r>
      <w:r w:rsidRPr="00CD4E37">
        <w:rPr>
          <w:szCs w:val="22"/>
          <w:lang w:val="nl-NL"/>
        </w:rPr>
        <w:t>).</w:t>
      </w:r>
    </w:p>
    <w:p w14:paraId="5930D230" w14:textId="77777777" w:rsidR="00285B13" w:rsidRPr="00CD4E37" w:rsidRDefault="00285B13" w:rsidP="00891282">
      <w:pPr>
        <w:tabs>
          <w:tab w:val="clear" w:pos="567"/>
        </w:tabs>
        <w:spacing w:line="240" w:lineRule="auto"/>
        <w:rPr>
          <w:szCs w:val="22"/>
          <w:lang w:val="nl-NL"/>
        </w:rPr>
      </w:pPr>
    </w:p>
    <w:p w14:paraId="506017E4" w14:textId="01F80A81" w:rsidR="00DB2334" w:rsidRPr="00CD4E37" w:rsidRDefault="00DB2334" w:rsidP="00286932">
      <w:pPr>
        <w:keepNext/>
        <w:tabs>
          <w:tab w:val="clear" w:pos="567"/>
        </w:tabs>
        <w:spacing w:line="240" w:lineRule="auto"/>
        <w:rPr>
          <w:szCs w:val="22"/>
          <w:u w:val="single"/>
          <w:lang w:val="nl-NL"/>
        </w:rPr>
      </w:pPr>
      <w:r w:rsidRPr="00CD4E37">
        <w:rPr>
          <w:szCs w:val="22"/>
          <w:u w:val="single"/>
          <w:lang w:val="nl-NL"/>
        </w:rPr>
        <w:lastRenderedPageBreak/>
        <w:t>Infecties bij oudere patiënten</w:t>
      </w:r>
    </w:p>
    <w:p w14:paraId="1181777F" w14:textId="77777777" w:rsidR="00DB2334" w:rsidRPr="00CD4E37" w:rsidRDefault="00DB2334" w:rsidP="00DB2334">
      <w:pPr>
        <w:keepNext/>
        <w:tabs>
          <w:tab w:val="clear" w:pos="567"/>
        </w:tabs>
        <w:spacing w:line="240" w:lineRule="auto"/>
        <w:rPr>
          <w:szCs w:val="22"/>
          <w:lang w:val="nl-NL"/>
        </w:rPr>
      </w:pPr>
    </w:p>
    <w:p w14:paraId="2ED20BAB" w14:textId="07305FBD" w:rsidR="00DB2334" w:rsidRPr="00B438F8" w:rsidRDefault="00DB2334" w:rsidP="00DB2334">
      <w:pPr>
        <w:tabs>
          <w:tab w:val="clear" w:pos="567"/>
        </w:tabs>
        <w:spacing w:line="240" w:lineRule="auto"/>
        <w:rPr>
          <w:lang w:val="nl-NL"/>
        </w:rPr>
      </w:pPr>
      <w:r w:rsidRPr="00CD4E37">
        <w:rPr>
          <w:szCs w:val="22"/>
          <w:lang w:val="nl-NL"/>
        </w:rPr>
        <w:t>Fatale infecties zijn vaker voorgekomen met quizartinib bij oudere patiënten (d.w.z. ouder dan 65 jaar) dan bij jongere patiënten, met name in de vroege behandelingsperiode.</w:t>
      </w:r>
      <w:r w:rsidRPr="00B438F8">
        <w:rPr>
          <w:lang w:val="nl-NL"/>
        </w:rPr>
        <w:t xml:space="preserve"> </w:t>
      </w:r>
      <w:r w:rsidRPr="00CD4E37">
        <w:rPr>
          <w:szCs w:val="22"/>
          <w:lang w:val="nl-NL"/>
        </w:rPr>
        <w:t>Patiënten ouder dan 65 jaar moeten nauwgezet worden gemonitord op het optreden van ernstige infecties tijdens inductie.</w:t>
      </w:r>
    </w:p>
    <w:p w14:paraId="4B16725E" w14:textId="77777777" w:rsidR="00DB2334" w:rsidRPr="00CD4E37" w:rsidRDefault="00DB2334" w:rsidP="00DB2334">
      <w:pPr>
        <w:tabs>
          <w:tab w:val="clear" w:pos="567"/>
        </w:tabs>
        <w:spacing w:line="240" w:lineRule="auto"/>
        <w:rPr>
          <w:szCs w:val="22"/>
          <w:lang w:val="nl-NL"/>
        </w:rPr>
      </w:pPr>
    </w:p>
    <w:p w14:paraId="40FC5C2C"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Vrouwen die zwanger kunnen worden/anticonceptie bij mannen en vrouwen</w:t>
      </w:r>
    </w:p>
    <w:p w14:paraId="2C68CA91" w14:textId="77777777" w:rsidR="00285B13" w:rsidRPr="00CD4E37" w:rsidRDefault="00285B13" w:rsidP="00891282">
      <w:pPr>
        <w:keepNext/>
        <w:tabs>
          <w:tab w:val="clear" w:pos="567"/>
        </w:tabs>
        <w:spacing w:line="240" w:lineRule="auto"/>
        <w:rPr>
          <w:szCs w:val="22"/>
          <w:lang w:val="nl-NL"/>
        </w:rPr>
      </w:pPr>
    </w:p>
    <w:p w14:paraId="4B2FFA90" w14:textId="77777777" w:rsidR="00285B13" w:rsidRPr="00CD4E37" w:rsidRDefault="00285B13" w:rsidP="00891282">
      <w:pPr>
        <w:tabs>
          <w:tab w:val="clear" w:pos="567"/>
        </w:tabs>
        <w:spacing w:line="240" w:lineRule="auto"/>
        <w:rPr>
          <w:szCs w:val="22"/>
          <w:lang w:val="nl-NL"/>
        </w:rPr>
      </w:pPr>
      <w:r w:rsidRPr="00CD4E37">
        <w:rPr>
          <w:szCs w:val="22"/>
          <w:lang w:val="nl-NL"/>
        </w:rPr>
        <w:t>Op basis van bevindingen bij dieren kan quizartinib embryofoetale schade veroorzaken bij toediening aan een zwangere vrouw. Vrouwen die zwanger kunnen worden, moeten een zwangerschapstest ondergaan binnen 7 dagen voordat een behandeling met VANFLYTA wordt gestart. Vrouwen die zwanger kunnen worden, moeten effectieve anticonceptie gebruiken tijdens de behandeling met VANFLYTA en gedurende ten minste 7 maanden na de laatste dosis. Mannen met een vrouwelijke partner die zwanger kan worden, moeten effectieve anticonceptie gebruiken tijdens de behandeling met VANFLYTA en gedurende ten minste 4 maanden na de laatste dosis (zie rubriek 4.6).</w:t>
      </w:r>
    </w:p>
    <w:p w14:paraId="0AAC30A5" w14:textId="77777777" w:rsidR="00285B13" w:rsidRPr="00CD4E37" w:rsidRDefault="00285B13" w:rsidP="00891282">
      <w:pPr>
        <w:tabs>
          <w:tab w:val="clear" w:pos="567"/>
        </w:tabs>
        <w:spacing w:line="240" w:lineRule="auto"/>
        <w:rPr>
          <w:szCs w:val="22"/>
          <w:lang w:val="nl-NL"/>
        </w:rPr>
      </w:pPr>
    </w:p>
    <w:p w14:paraId="0AD2E49D" w14:textId="77777777" w:rsidR="00285B13" w:rsidRPr="00CD4E37" w:rsidRDefault="00285B13" w:rsidP="00891282">
      <w:pPr>
        <w:keepNext/>
        <w:tabs>
          <w:tab w:val="clear" w:pos="567"/>
        </w:tabs>
        <w:spacing w:line="240" w:lineRule="auto"/>
        <w:rPr>
          <w:bCs/>
          <w:iCs/>
          <w:szCs w:val="22"/>
          <w:u w:val="single"/>
          <w:lang w:val="nl-NL"/>
        </w:rPr>
      </w:pPr>
      <w:r w:rsidRPr="00CD4E37">
        <w:rPr>
          <w:szCs w:val="22"/>
          <w:u w:val="single"/>
          <w:lang w:val="nl-NL"/>
        </w:rPr>
        <w:t>Patiëntenkaart</w:t>
      </w:r>
    </w:p>
    <w:p w14:paraId="57991720" w14:textId="77777777" w:rsidR="00285B13" w:rsidRPr="00CD4E37" w:rsidRDefault="00285B13" w:rsidP="00891282">
      <w:pPr>
        <w:keepNext/>
        <w:tabs>
          <w:tab w:val="clear" w:pos="567"/>
        </w:tabs>
        <w:spacing w:line="240" w:lineRule="auto"/>
        <w:rPr>
          <w:bCs/>
          <w:iCs/>
          <w:szCs w:val="22"/>
          <w:lang w:val="nl-NL"/>
        </w:rPr>
      </w:pPr>
    </w:p>
    <w:p w14:paraId="27191A64" w14:textId="77777777" w:rsidR="00285B13" w:rsidRPr="00CD4E37" w:rsidRDefault="00285B13" w:rsidP="00891282">
      <w:pPr>
        <w:tabs>
          <w:tab w:val="clear" w:pos="567"/>
        </w:tabs>
        <w:spacing w:line="240" w:lineRule="auto"/>
        <w:rPr>
          <w:bCs/>
          <w:szCs w:val="22"/>
          <w:lang w:val="nl-NL"/>
        </w:rPr>
      </w:pPr>
      <w:r w:rsidRPr="00CD4E37">
        <w:rPr>
          <w:szCs w:val="22"/>
          <w:lang w:val="nl-NL"/>
        </w:rPr>
        <w:t>De voorschrijver moet de risico's van behandeling met VANFLYTA met de patiënt bespreken. De patiënt krijgt bij elk voorschrift de patiëntenkaart (aanwezig in de verpakking van het geneesmiddel).</w:t>
      </w:r>
    </w:p>
    <w:p w14:paraId="09163A29" w14:textId="77777777" w:rsidR="00285B13" w:rsidRPr="00CD4E37" w:rsidRDefault="00285B13" w:rsidP="00891282">
      <w:pPr>
        <w:tabs>
          <w:tab w:val="clear" w:pos="567"/>
        </w:tabs>
        <w:spacing w:line="240" w:lineRule="auto"/>
        <w:rPr>
          <w:szCs w:val="22"/>
          <w:lang w:val="nl-NL"/>
        </w:rPr>
      </w:pPr>
    </w:p>
    <w:p w14:paraId="34C1E37A" w14:textId="77777777" w:rsidR="00285B13" w:rsidRPr="00CD4E37" w:rsidRDefault="00285B13" w:rsidP="00891282">
      <w:pPr>
        <w:keepNext/>
        <w:spacing w:line="240" w:lineRule="auto"/>
        <w:rPr>
          <w:b/>
          <w:szCs w:val="22"/>
          <w:lang w:val="nl-NL"/>
        </w:rPr>
      </w:pPr>
      <w:r w:rsidRPr="00CD4E37">
        <w:rPr>
          <w:b/>
          <w:bCs/>
          <w:szCs w:val="22"/>
          <w:lang w:val="nl-NL"/>
        </w:rPr>
        <w:t>4.5</w:t>
      </w:r>
      <w:r w:rsidRPr="00CD4E37">
        <w:rPr>
          <w:b/>
          <w:bCs/>
          <w:szCs w:val="22"/>
          <w:lang w:val="nl-NL"/>
        </w:rPr>
        <w:tab/>
        <w:t>Interacties met andere geneesmiddelen en andere vormen van interactie</w:t>
      </w:r>
    </w:p>
    <w:p w14:paraId="0D409C16" w14:textId="77777777" w:rsidR="00285B13" w:rsidRPr="00CD4E37" w:rsidRDefault="00285B13" w:rsidP="00891282">
      <w:pPr>
        <w:keepNext/>
        <w:tabs>
          <w:tab w:val="clear" w:pos="567"/>
        </w:tabs>
        <w:spacing w:line="240" w:lineRule="auto"/>
        <w:rPr>
          <w:szCs w:val="22"/>
          <w:lang w:val="nl-NL"/>
        </w:rPr>
      </w:pPr>
    </w:p>
    <w:p w14:paraId="02B0A687" w14:textId="77777777" w:rsidR="00285B13" w:rsidRPr="00CD4E37" w:rsidRDefault="00285B13" w:rsidP="00891282">
      <w:pPr>
        <w:tabs>
          <w:tab w:val="clear" w:pos="567"/>
        </w:tabs>
        <w:spacing w:line="240" w:lineRule="auto"/>
        <w:rPr>
          <w:szCs w:val="22"/>
          <w:lang w:val="nl-NL"/>
        </w:rPr>
      </w:pPr>
      <w:r w:rsidRPr="00CD4E37">
        <w:rPr>
          <w:szCs w:val="22"/>
          <w:lang w:val="nl-NL"/>
        </w:rPr>
        <w:t xml:space="preserve">Quizartinib en zijn actieve metaboliet AC886 worden </w:t>
      </w:r>
      <w:r w:rsidRPr="00CD4E37">
        <w:rPr>
          <w:i/>
          <w:iCs/>
          <w:szCs w:val="22"/>
          <w:lang w:val="nl-NL"/>
        </w:rPr>
        <w:t xml:space="preserve">in vitro </w:t>
      </w:r>
      <w:r w:rsidRPr="00CD4E37">
        <w:rPr>
          <w:szCs w:val="22"/>
          <w:lang w:val="nl-NL"/>
        </w:rPr>
        <w:t>voornamelijk gemetaboliseerd door CYP3A.</w:t>
      </w:r>
    </w:p>
    <w:p w14:paraId="4DF134CD" w14:textId="77777777" w:rsidR="00285B13" w:rsidRPr="00CD4E37" w:rsidRDefault="00285B13" w:rsidP="00891282">
      <w:pPr>
        <w:tabs>
          <w:tab w:val="clear" w:pos="567"/>
        </w:tabs>
        <w:spacing w:line="240" w:lineRule="auto"/>
        <w:rPr>
          <w:szCs w:val="22"/>
          <w:lang w:val="nl-NL"/>
        </w:rPr>
      </w:pPr>
    </w:p>
    <w:p w14:paraId="39837950"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Effect van andere geneesmiddelen op VANFLYTA</w:t>
      </w:r>
    </w:p>
    <w:p w14:paraId="03D1BE91" w14:textId="77777777" w:rsidR="00285B13" w:rsidRPr="00CD4E37" w:rsidRDefault="00285B13" w:rsidP="00891282">
      <w:pPr>
        <w:keepNext/>
        <w:tabs>
          <w:tab w:val="clear" w:pos="567"/>
        </w:tabs>
        <w:spacing w:line="240" w:lineRule="auto"/>
        <w:rPr>
          <w:szCs w:val="22"/>
          <w:lang w:val="nl-NL"/>
        </w:rPr>
      </w:pPr>
    </w:p>
    <w:p w14:paraId="2088859D" w14:textId="00A430A9" w:rsidR="00285B13" w:rsidRPr="00CD4E37" w:rsidRDefault="00285B13" w:rsidP="00891282">
      <w:pPr>
        <w:keepNext/>
        <w:tabs>
          <w:tab w:val="clear" w:pos="567"/>
        </w:tabs>
        <w:spacing w:line="240" w:lineRule="auto"/>
        <w:rPr>
          <w:i/>
          <w:szCs w:val="22"/>
          <w:lang w:val="nl-NL"/>
        </w:rPr>
      </w:pPr>
      <w:r w:rsidRPr="00CD4E37">
        <w:rPr>
          <w:i/>
          <w:iCs/>
          <w:szCs w:val="22"/>
          <w:lang w:val="nl-NL"/>
        </w:rPr>
        <w:t>Sterke CYP3A</w:t>
      </w:r>
      <w:r w:rsidR="00DB2334" w:rsidRPr="00CD4E37">
        <w:rPr>
          <w:i/>
          <w:iCs/>
          <w:szCs w:val="22"/>
          <w:lang w:val="nl-NL"/>
        </w:rPr>
        <w:t>/P</w:t>
      </w:r>
      <w:r w:rsidR="00BA56F1" w:rsidRPr="00CD4E37">
        <w:rPr>
          <w:i/>
          <w:iCs/>
          <w:szCs w:val="22"/>
          <w:lang w:val="nl-NL"/>
        </w:rPr>
        <w:t>-</w:t>
      </w:r>
      <w:r w:rsidR="00DB2334" w:rsidRPr="00CD4E37">
        <w:rPr>
          <w:i/>
          <w:iCs/>
          <w:szCs w:val="22"/>
          <w:lang w:val="nl-NL"/>
        </w:rPr>
        <w:t>glycoproteïne (P</w:t>
      </w:r>
      <w:r w:rsidR="00BA56F1" w:rsidRPr="00CD4E37">
        <w:rPr>
          <w:i/>
          <w:iCs/>
          <w:szCs w:val="22"/>
          <w:lang w:val="nl-NL"/>
        </w:rPr>
        <w:t>-</w:t>
      </w:r>
      <w:r w:rsidR="00DB2334" w:rsidRPr="00CD4E37">
        <w:rPr>
          <w:i/>
          <w:iCs/>
          <w:szCs w:val="22"/>
          <w:lang w:val="nl-NL"/>
        </w:rPr>
        <w:t>gp)</w:t>
      </w:r>
      <w:r w:rsidRPr="00CD4E37">
        <w:rPr>
          <w:i/>
          <w:iCs/>
          <w:szCs w:val="22"/>
          <w:lang w:val="nl-NL"/>
        </w:rPr>
        <w:t>-remmers</w:t>
      </w:r>
    </w:p>
    <w:p w14:paraId="307A8FB5" w14:textId="0F23492C" w:rsidR="00285B13" w:rsidRPr="00CD4E37" w:rsidRDefault="00285B13" w:rsidP="00891282">
      <w:pPr>
        <w:tabs>
          <w:tab w:val="clear" w:pos="567"/>
        </w:tabs>
        <w:spacing w:line="240" w:lineRule="auto"/>
        <w:rPr>
          <w:szCs w:val="22"/>
          <w:lang w:val="nl-NL"/>
        </w:rPr>
      </w:pPr>
      <w:r w:rsidRPr="00CD4E37">
        <w:rPr>
          <w:szCs w:val="22"/>
          <w:lang w:val="nl-NL"/>
        </w:rPr>
        <w:t>Na gelijktijdige toediening van ketoconazol (200 mg tweemaal daags gedurende 28 dagen), een sterke CYP3A</w:t>
      </w:r>
      <w:r w:rsidR="00DB2334" w:rsidRPr="00CD4E37">
        <w:rPr>
          <w:szCs w:val="22"/>
          <w:lang w:val="nl-NL"/>
        </w:rPr>
        <w:t>/P</w:t>
      </w:r>
      <w:r w:rsidR="00BA56F1" w:rsidRPr="00CD4E37">
        <w:rPr>
          <w:szCs w:val="22"/>
          <w:lang w:val="nl-NL"/>
        </w:rPr>
        <w:t>-</w:t>
      </w:r>
      <w:r w:rsidR="00DB2334" w:rsidRPr="00CD4E37">
        <w:rPr>
          <w:szCs w:val="22"/>
          <w:lang w:val="nl-NL"/>
        </w:rPr>
        <w:t>gp</w:t>
      </w:r>
      <w:r w:rsidRPr="00CD4E37">
        <w:rPr>
          <w:szCs w:val="22"/>
          <w:lang w:val="nl-NL"/>
        </w:rPr>
        <w:t>-remmer, met een enkele dosis VANFLYTA waren de maximale plasmaconcentratie (C</w:t>
      </w:r>
      <w:r w:rsidRPr="00CD4E37">
        <w:rPr>
          <w:szCs w:val="22"/>
          <w:vertAlign w:val="subscript"/>
          <w:lang w:val="nl-NL"/>
        </w:rPr>
        <w:t>max</w:t>
      </w:r>
      <w:r w:rsidRPr="00CD4E37">
        <w:rPr>
          <w:szCs w:val="22"/>
          <w:lang w:val="nl-NL"/>
        </w:rPr>
        <w:t>) en het oppervlak onder de curve (AUC</w:t>
      </w:r>
      <w:r w:rsidRPr="00CD4E37">
        <w:rPr>
          <w:szCs w:val="22"/>
          <w:vertAlign w:val="subscript"/>
          <w:lang w:val="nl-NL"/>
        </w:rPr>
        <w:t>inf</w:t>
      </w:r>
      <w:r w:rsidRPr="00CD4E37">
        <w:rPr>
          <w:szCs w:val="22"/>
          <w:lang w:val="nl-NL"/>
        </w:rPr>
        <w:t xml:space="preserve">) van quizartinib verhoogd met respectievelijk </w:t>
      </w:r>
      <w:r w:rsidR="00BE5DE8" w:rsidRPr="00CD4E37">
        <w:rPr>
          <w:szCs w:val="22"/>
          <w:lang w:val="nl-NL"/>
        </w:rPr>
        <w:t>een factor 1,</w:t>
      </w:r>
      <w:r w:rsidRPr="00CD4E37">
        <w:rPr>
          <w:szCs w:val="22"/>
          <w:lang w:val="nl-NL"/>
        </w:rPr>
        <w:t xml:space="preserve">17 en </w:t>
      </w:r>
      <w:r w:rsidR="0057187F" w:rsidRPr="00CD4E37">
        <w:rPr>
          <w:szCs w:val="22"/>
          <w:lang w:val="nl-NL"/>
        </w:rPr>
        <w:t xml:space="preserve">een factor </w:t>
      </w:r>
      <w:r w:rsidR="00BE5DE8" w:rsidRPr="00CD4E37">
        <w:rPr>
          <w:szCs w:val="22"/>
          <w:lang w:val="nl-NL"/>
        </w:rPr>
        <w:t>1,</w:t>
      </w:r>
      <w:r w:rsidRPr="00CD4E37">
        <w:rPr>
          <w:szCs w:val="22"/>
          <w:lang w:val="nl-NL"/>
        </w:rPr>
        <w:t>94, en waren de C</w:t>
      </w:r>
      <w:r w:rsidRPr="00CD4E37">
        <w:rPr>
          <w:szCs w:val="22"/>
          <w:vertAlign w:val="subscript"/>
          <w:lang w:val="nl-NL"/>
        </w:rPr>
        <w:t>max</w:t>
      </w:r>
      <w:r w:rsidRPr="00CD4E37">
        <w:rPr>
          <w:szCs w:val="22"/>
          <w:lang w:val="nl-NL"/>
        </w:rPr>
        <w:t xml:space="preserve"> en AUC</w:t>
      </w:r>
      <w:r w:rsidRPr="00CD4E37">
        <w:rPr>
          <w:szCs w:val="22"/>
          <w:vertAlign w:val="subscript"/>
          <w:lang w:val="nl-NL"/>
        </w:rPr>
        <w:t>inf</w:t>
      </w:r>
      <w:r w:rsidRPr="00CD4E37">
        <w:rPr>
          <w:szCs w:val="22"/>
          <w:lang w:val="nl-NL"/>
        </w:rPr>
        <w:t xml:space="preserve"> van AC886 verlaagd met respectievelijk </w:t>
      </w:r>
      <w:r w:rsidR="00BE5DE8" w:rsidRPr="00CD4E37">
        <w:rPr>
          <w:szCs w:val="22"/>
          <w:lang w:val="nl-NL"/>
        </w:rPr>
        <w:t>een factor 2,5</w:t>
      </w:r>
      <w:r w:rsidRPr="00CD4E37">
        <w:rPr>
          <w:szCs w:val="22"/>
          <w:lang w:val="nl-NL"/>
        </w:rPr>
        <w:t xml:space="preserve"> en </w:t>
      </w:r>
      <w:r w:rsidR="0057187F" w:rsidRPr="00CD4E37">
        <w:rPr>
          <w:szCs w:val="22"/>
          <w:lang w:val="nl-NL"/>
        </w:rPr>
        <w:t xml:space="preserve">een factor </w:t>
      </w:r>
      <w:r w:rsidR="00BE5DE8" w:rsidRPr="00CD4E37">
        <w:rPr>
          <w:szCs w:val="22"/>
          <w:lang w:val="nl-NL"/>
        </w:rPr>
        <w:t>1,18</w:t>
      </w:r>
      <w:r w:rsidRPr="00CD4E37">
        <w:rPr>
          <w:szCs w:val="22"/>
          <w:lang w:val="nl-NL"/>
        </w:rPr>
        <w:t xml:space="preserve"> in vergelijking met alleen VANFLYTA. Bij </w:t>
      </w:r>
      <w:r w:rsidRPr="00CD4E37">
        <w:rPr>
          <w:i/>
          <w:iCs/>
          <w:szCs w:val="22"/>
          <w:lang w:val="nl-NL"/>
        </w:rPr>
        <w:t>steady</w:t>
      </w:r>
      <w:r w:rsidRPr="00CD4E37">
        <w:rPr>
          <w:szCs w:val="22"/>
          <w:lang w:val="nl-NL"/>
        </w:rPr>
        <w:t> </w:t>
      </w:r>
      <w:r w:rsidRPr="00CD4E37">
        <w:rPr>
          <w:i/>
          <w:iCs/>
          <w:szCs w:val="22"/>
          <w:lang w:val="nl-NL"/>
        </w:rPr>
        <w:t>state</w:t>
      </w:r>
      <w:r w:rsidRPr="00CD4E37">
        <w:rPr>
          <w:szCs w:val="22"/>
          <w:lang w:val="nl-NL"/>
        </w:rPr>
        <w:t xml:space="preserve"> was de blootstelling aan quizartinib (C</w:t>
      </w:r>
      <w:r w:rsidRPr="00CD4E37">
        <w:rPr>
          <w:szCs w:val="22"/>
          <w:vertAlign w:val="subscript"/>
          <w:lang w:val="nl-NL"/>
        </w:rPr>
        <w:t>max</w:t>
      </w:r>
      <w:r w:rsidRPr="00CD4E37">
        <w:rPr>
          <w:szCs w:val="22"/>
          <w:lang w:val="nl-NL"/>
        </w:rPr>
        <w:t xml:space="preserve"> en AUC</w:t>
      </w:r>
      <w:r w:rsidRPr="00CD4E37">
        <w:rPr>
          <w:szCs w:val="22"/>
          <w:vertAlign w:val="subscript"/>
          <w:lang w:val="nl-NL"/>
        </w:rPr>
        <w:t>0-24u</w:t>
      </w:r>
      <w:r w:rsidRPr="00CD4E37">
        <w:rPr>
          <w:szCs w:val="22"/>
          <w:lang w:val="nl-NL"/>
        </w:rPr>
        <w:t xml:space="preserve">) naar schatting verhoogd met respectievelijk </w:t>
      </w:r>
      <w:r w:rsidR="00BE5DE8" w:rsidRPr="00CD4E37">
        <w:rPr>
          <w:szCs w:val="22"/>
          <w:lang w:val="nl-NL"/>
        </w:rPr>
        <w:t>een factor 1,</w:t>
      </w:r>
      <w:r w:rsidRPr="00CD4E37">
        <w:rPr>
          <w:szCs w:val="22"/>
          <w:lang w:val="nl-NL"/>
        </w:rPr>
        <w:t xml:space="preserve">86 en </w:t>
      </w:r>
      <w:r w:rsidR="0057187F" w:rsidRPr="00CD4E37">
        <w:rPr>
          <w:szCs w:val="22"/>
          <w:lang w:val="nl-NL"/>
        </w:rPr>
        <w:t xml:space="preserve">een factor </w:t>
      </w:r>
      <w:r w:rsidR="00BE5DE8" w:rsidRPr="00CD4E37">
        <w:rPr>
          <w:szCs w:val="22"/>
          <w:lang w:val="nl-NL"/>
        </w:rPr>
        <w:t>1,</w:t>
      </w:r>
      <w:r w:rsidRPr="00CD4E37">
        <w:rPr>
          <w:szCs w:val="22"/>
          <w:lang w:val="nl-NL"/>
        </w:rPr>
        <w:t>96, en was de blootstelling aan AC886 (C</w:t>
      </w:r>
      <w:r w:rsidRPr="00CD4E37">
        <w:rPr>
          <w:szCs w:val="22"/>
          <w:vertAlign w:val="subscript"/>
          <w:lang w:val="nl-NL"/>
        </w:rPr>
        <w:t>max</w:t>
      </w:r>
      <w:r w:rsidRPr="00CD4E37">
        <w:rPr>
          <w:szCs w:val="22"/>
          <w:lang w:val="nl-NL"/>
        </w:rPr>
        <w:t xml:space="preserve"> en AUC</w:t>
      </w:r>
      <w:r w:rsidRPr="00CD4E37">
        <w:rPr>
          <w:szCs w:val="22"/>
          <w:vertAlign w:val="subscript"/>
          <w:lang w:val="nl-NL"/>
        </w:rPr>
        <w:t>0-24u</w:t>
      </w:r>
      <w:r w:rsidRPr="00CD4E37">
        <w:rPr>
          <w:szCs w:val="22"/>
          <w:lang w:val="nl-NL"/>
        </w:rPr>
        <w:t xml:space="preserve">) verlaagd met respectievelijk </w:t>
      </w:r>
      <w:r w:rsidR="00B13FD8" w:rsidRPr="00CD4E37">
        <w:rPr>
          <w:szCs w:val="22"/>
          <w:lang w:val="nl-NL"/>
        </w:rPr>
        <w:t>een factor 1,22</w:t>
      </w:r>
      <w:r w:rsidRPr="00CD4E37">
        <w:rPr>
          <w:szCs w:val="22"/>
          <w:lang w:val="nl-NL"/>
        </w:rPr>
        <w:t xml:space="preserve"> en </w:t>
      </w:r>
      <w:r w:rsidR="0057187F" w:rsidRPr="00CD4E37">
        <w:rPr>
          <w:szCs w:val="22"/>
          <w:lang w:val="nl-NL"/>
        </w:rPr>
        <w:t xml:space="preserve">een factor </w:t>
      </w:r>
      <w:r w:rsidR="00B13FD8" w:rsidRPr="00CD4E37">
        <w:rPr>
          <w:szCs w:val="22"/>
          <w:lang w:val="nl-NL"/>
        </w:rPr>
        <w:t>1,17</w:t>
      </w:r>
      <w:r w:rsidRPr="00CD4E37">
        <w:rPr>
          <w:szCs w:val="22"/>
          <w:lang w:val="nl-NL"/>
        </w:rPr>
        <w:t xml:space="preserve">. Een verhoogde blootstelling aan quizartinib kan </w:t>
      </w:r>
      <w:r w:rsidR="00DF4B2E">
        <w:rPr>
          <w:szCs w:val="22"/>
          <w:lang w:val="nl-NL"/>
        </w:rPr>
        <w:t>he</w:t>
      </w:r>
      <w:r w:rsidRPr="00CD4E37">
        <w:rPr>
          <w:szCs w:val="22"/>
          <w:lang w:val="nl-NL"/>
        </w:rPr>
        <w:t>t risico op toxiciteit</w:t>
      </w:r>
      <w:r w:rsidR="00283B16">
        <w:rPr>
          <w:szCs w:val="22"/>
          <w:lang w:val="nl-NL"/>
        </w:rPr>
        <w:t xml:space="preserve"> vergroten</w:t>
      </w:r>
      <w:r w:rsidRPr="00CD4E37">
        <w:rPr>
          <w:szCs w:val="22"/>
          <w:lang w:val="nl-NL"/>
        </w:rPr>
        <w:t>.</w:t>
      </w:r>
    </w:p>
    <w:p w14:paraId="68E7EB04" w14:textId="77777777" w:rsidR="00285B13" w:rsidRPr="00CD4E37" w:rsidRDefault="00285B13" w:rsidP="00891282">
      <w:pPr>
        <w:tabs>
          <w:tab w:val="clear" w:pos="567"/>
        </w:tabs>
        <w:spacing w:line="240" w:lineRule="auto"/>
        <w:rPr>
          <w:szCs w:val="22"/>
          <w:lang w:val="nl-NL"/>
        </w:rPr>
      </w:pPr>
    </w:p>
    <w:p w14:paraId="242FF79C" w14:textId="77777777" w:rsidR="00285B13" w:rsidRPr="00CD4E37" w:rsidRDefault="00285B13" w:rsidP="00891282">
      <w:pPr>
        <w:tabs>
          <w:tab w:val="clear" w:pos="567"/>
        </w:tabs>
        <w:spacing w:line="240" w:lineRule="auto"/>
        <w:rPr>
          <w:szCs w:val="22"/>
          <w:lang w:val="nl-NL"/>
        </w:rPr>
      </w:pPr>
      <w:r w:rsidRPr="00CD4E37">
        <w:rPr>
          <w:szCs w:val="22"/>
          <w:lang w:val="nl-NL"/>
        </w:rPr>
        <w:t>De dosis VANFLYTA dient te worden verlaagd zoals weergegeven in de onderstaande tabel als gelijktijdig gebruik met sterke CYP3A-remmers niet te vermijden is. Zie voor nadere bijzonderheden over dosisaanpassingen tabel 3 in rubriek</w:t>
      </w:r>
      <w:r w:rsidRPr="00CD4E37">
        <w:rPr>
          <w:lang w:val="nl-NL"/>
        </w:rPr>
        <w:t> </w:t>
      </w:r>
      <w:r w:rsidRPr="00CD4E37">
        <w:rPr>
          <w:szCs w:val="22"/>
          <w:lang w:val="nl-NL"/>
        </w:rPr>
        <w:t>4.2.</w:t>
      </w:r>
    </w:p>
    <w:p w14:paraId="5F3AD883" w14:textId="77777777" w:rsidR="00285B13" w:rsidRPr="00CD4E37" w:rsidRDefault="00285B13" w:rsidP="00891282">
      <w:pPr>
        <w:tabs>
          <w:tab w:val="clear" w:pos="567"/>
        </w:tabs>
        <w:spacing w:line="240" w:lineRule="auto"/>
        <w:rPr>
          <w:lang w:val="nl-N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8"/>
        <w:gridCol w:w="3996"/>
      </w:tblGrid>
      <w:tr w:rsidR="00285B13" w:rsidRPr="009C764A" w14:paraId="44BE20D7" w14:textId="77777777" w:rsidTr="00387A3F">
        <w:trPr>
          <w:trHeight w:val="541"/>
        </w:trPr>
        <w:tc>
          <w:tcPr>
            <w:tcW w:w="1948" w:type="dxa"/>
            <w:tcMar>
              <w:top w:w="0" w:type="dxa"/>
              <w:left w:w="108" w:type="dxa"/>
              <w:bottom w:w="0" w:type="dxa"/>
              <w:right w:w="108" w:type="dxa"/>
            </w:tcMar>
            <w:vAlign w:val="center"/>
            <w:hideMark/>
          </w:tcPr>
          <w:p w14:paraId="6F91064F" w14:textId="77777777" w:rsidR="00285B13" w:rsidRPr="00CD4E37" w:rsidRDefault="00285B13" w:rsidP="00387A3F">
            <w:pPr>
              <w:keepNext/>
              <w:spacing w:line="252" w:lineRule="auto"/>
              <w:jc w:val="center"/>
              <w:rPr>
                <w:b/>
                <w:bCs/>
                <w:lang w:val="nl-NL"/>
              </w:rPr>
            </w:pPr>
            <w:r w:rsidRPr="00CD4E37">
              <w:rPr>
                <w:b/>
                <w:bCs/>
                <w:lang w:val="nl-NL"/>
              </w:rPr>
              <w:t>Volledige dosis</w:t>
            </w:r>
          </w:p>
        </w:tc>
        <w:tc>
          <w:tcPr>
            <w:tcW w:w="3996" w:type="dxa"/>
            <w:tcMar>
              <w:top w:w="0" w:type="dxa"/>
              <w:left w:w="108" w:type="dxa"/>
              <w:bottom w:w="0" w:type="dxa"/>
              <w:right w:w="108" w:type="dxa"/>
            </w:tcMar>
            <w:hideMark/>
          </w:tcPr>
          <w:p w14:paraId="29ABF40B" w14:textId="57BAE1B1" w:rsidR="00285B13" w:rsidRPr="00CD4E37" w:rsidRDefault="00285B13" w:rsidP="00387A3F">
            <w:pPr>
              <w:keepNext/>
              <w:spacing w:line="252" w:lineRule="auto"/>
              <w:jc w:val="center"/>
              <w:rPr>
                <w:b/>
                <w:bCs/>
                <w:lang w:val="nl-NL"/>
              </w:rPr>
            </w:pPr>
            <w:r w:rsidRPr="00CD4E37">
              <w:rPr>
                <w:b/>
                <w:bCs/>
                <w:lang w:val="nl-NL"/>
              </w:rPr>
              <w:t xml:space="preserve">Dosisverlagingen vanwege </w:t>
            </w:r>
            <w:r w:rsidR="005123AE" w:rsidRPr="00CD4E37">
              <w:rPr>
                <w:b/>
                <w:bCs/>
                <w:lang w:val="nl-NL"/>
              </w:rPr>
              <w:t xml:space="preserve">gelijktijdig </w:t>
            </w:r>
            <w:r w:rsidRPr="00CD4E37">
              <w:rPr>
                <w:b/>
                <w:bCs/>
                <w:lang w:val="nl-NL"/>
              </w:rPr>
              <w:t>gebruik met sterke CYP3A-remmers</w:t>
            </w:r>
          </w:p>
        </w:tc>
      </w:tr>
      <w:tr w:rsidR="00285B13" w:rsidRPr="00CD4E37" w14:paraId="475896AB" w14:textId="77777777" w:rsidTr="00387A3F">
        <w:tc>
          <w:tcPr>
            <w:tcW w:w="1948" w:type="dxa"/>
            <w:tcMar>
              <w:top w:w="0" w:type="dxa"/>
              <w:left w:w="108" w:type="dxa"/>
              <w:bottom w:w="0" w:type="dxa"/>
              <w:right w:w="108" w:type="dxa"/>
            </w:tcMar>
            <w:hideMark/>
          </w:tcPr>
          <w:p w14:paraId="4CFE9F96" w14:textId="77777777" w:rsidR="00285B13" w:rsidRPr="00CD4E37" w:rsidRDefault="00285B13" w:rsidP="00387A3F">
            <w:pPr>
              <w:spacing w:line="252" w:lineRule="auto"/>
              <w:jc w:val="center"/>
              <w:rPr>
                <w:lang w:val="nl-NL"/>
              </w:rPr>
            </w:pPr>
            <w:r w:rsidRPr="00CD4E37">
              <w:rPr>
                <w:lang w:val="nl-NL"/>
              </w:rPr>
              <w:t>26,5 mg</w:t>
            </w:r>
          </w:p>
        </w:tc>
        <w:tc>
          <w:tcPr>
            <w:tcW w:w="3996" w:type="dxa"/>
            <w:vMerge w:val="restart"/>
            <w:tcMar>
              <w:top w:w="0" w:type="dxa"/>
              <w:left w:w="108" w:type="dxa"/>
              <w:bottom w:w="0" w:type="dxa"/>
              <w:right w:w="108" w:type="dxa"/>
            </w:tcMar>
            <w:vAlign w:val="center"/>
            <w:hideMark/>
          </w:tcPr>
          <w:p w14:paraId="5F3D2245" w14:textId="77777777" w:rsidR="00285B13" w:rsidRPr="00CD4E37" w:rsidRDefault="00285B13" w:rsidP="00387A3F">
            <w:pPr>
              <w:spacing w:line="252" w:lineRule="auto"/>
              <w:ind w:left="360"/>
              <w:jc w:val="center"/>
              <w:rPr>
                <w:lang w:val="nl-NL"/>
              </w:rPr>
            </w:pPr>
            <w:r w:rsidRPr="00CD4E37">
              <w:rPr>
                <w:lang w:val="nl-NL"/>
              </w:rPr>
              <w:t>17,7 mg</w:t>
            </w:r>
          </w:p>
        </w:tc>
      </w:tr>
      <w:tr w:rsidR="00285B13" w:rsidRPr="00CD4E37" w14:paraId="4A7261F7" w14:textId="77777777" w:rsidTr="00387A3F">
        <w:tc>
          <w:tcPr>
            <w:tcW w:w="1948" w:type="dxa"/>
            <w:tcMar>
              <w:top w:w="0" w:type="dxa"/>
              <w:left w:w="108" w:type="dxa"/>
              <w:bottom w:w="0" w:type="dxa"/>
              <w:right w:w="108" w:type="dxa"/>
            </w:tcMar>
            <w:hideMark/>
          </w:tcPr>
          <w:p w14:paraId="2C9903A7" w14:textId="77777777" w:rsidR="00285B13" w:rsidRPr="00CD4E37" w:rsidRDefault="00285B13" w:rsidP="00387A3F">
            <w:pPr>
              <w:spacing w:line="252" w:lineRule="auto"/>
              <w:jc w:val="center"/>
              <w:rPr>
                <w:lang w:val="nl-NL"/>
              </w:rPr>
            </w:pPr>
            <w:r w:rsidRPr="00CD4E37">
              <w:rPr>
                <w:lang w:val="nl-NL"/>
              </w:rPr>
              <w:t>35,4 mg</w:t>
            </w:r>
          </w:p>
        </w:tc>
        <w:tc>
          <w:tcPr>
            <w:tcW w:w="3996" w:type="dxa"/>
            <w:vMerge/>
            <w:tcMar>
              <w:top w:w="0" w:type="dxa"/>
              <w:left w:w="108" w:type="dxa"/>
              <w:bottom w:w="0" w:type="dxa"/>
              <w:right w:w="108" w:type="dxa"/>
            </w:tcMar>
            <w:hideMark/>
          </w:tcPr>
          <w:p w14:paraId="052DD5DE" w14:textId="77777777" w:rsidR="00285B13" w:rsidRPr="00CD4E37" w:rsidRDefault="00285B13" w:rsidP="00387A3F">
            <w:pPr>
              <w:spacing w:line="252" w:lineRule="auto"/>
              <w:ind w:left="360"/>
              <w:jc w:val="center"/>
              <w:rPr>
                <w:lang w:val="nl-NL"/>
              </w:rPr>
            </w:pPr>
          </w:p>
        </w:tc>
      </w:tr>
      <w:tr w:rsidR="00285B13" w:rsidRPr="00CD4E37" w14:paraId="1A96F127" w14:textId="77777777" w:rsidTr="00387A3F">
        <w:tc>
          <w:tcPr>
            <w:tcW w:w="1948" w:type="dxa"/>
            <w:tcMar>
              <w:top w:w="0" w:type="dxa"/>
              <w:left w:w="108" w:type="dxa"/>
              <w:bottom w:w="0" w:type="dxa"/>
              <w:right w:w="108" w:type="dxa"/>
            </w:tcMar>
            <w:hideMark/>
          </w:tcPr>
          <w:p w14:paraId="2125230A" w14:textId="77777777" w:rsidR="00285B13" w:rsidRPr="00CD4E37" w:rsidRDefault="00285B13" w:rsidP="00387A3F">
            <w:pPr>
              <w:spacing w:line="252" w:lineRule="auto"/>
              <w:jc w:val="center"/>
              <w:rPr>
                <w:lang w:val="nl-NL"/>
              </w:rPr>
            </w:pPr>
            <w:r w:rsidRPr="00CD4E37">
              <w:rPr>
                <w:lang w:val="nl-NL"/>
              </w:rPr>
              <w:t>53 mg</w:t>
            </w:r>
          </w:p>
        </w:tc>
        <w:tc>
          <w:tcPr>
            <w:tcW w:w="3996" w:type="dxa"/>
            <w:tcMar>
              <w:top w:w="0" w:type="dxa"/>
              <w:left w:w="108" w:type="dxa"/>
              <w:bottom w:w="0" w:type="dxa"/>
              <w:right w:w="108" w:type="dxa"/>
            </w:tcMar>
            <w:hideMark/>
          </w:tcPr>
          <w:p w14:paraId="28BDF619" w14:textId="77777777" w:rsidR="00285B13" w:rsidRPr="00CD4E37" w:rsidRDefault="00285B13" w:rsidP="00387A3F">
            <w:pPr>
              <w:spacing w:line="252" w:lineRule="auto"/>
              <w:ind w:left="360"/>
              <w:jc w:val="center"/>
              <w:rPr>
                <w:lang w:val="nl-NL"/>
              </w:rPr>
            </w:pPr>
            <w:r w:rsidRPr="00CD4E37">
              <w:rPr>
                <w:lang w:val="nl-NL"/>
              </w:rPr>
              <w:t>26,5 mg</w:t>
            </w:r>
          </w:p>
        </w:tc>
      </w:tr>
    </w:tbl>
    <w:p w14:paraId="2BAE375E" w14:textId="77777777" w:rsidR="00285B13" w:rsidRPr="00CD4E37" w:rsidRDefault="00285B13" w:rsidP="00891282">
      <w:pPr>
        <w:tabs>
          <w:tab w:val="clear" w:pos="567"/>
        </w:tabs>
        <w:spacing w:line="240" w:lineRule="auto"/>
        <w:rPr>
          <w:lang w:val="nl-NL"/>
        </w:rPr>
      </w:pPr>
    </w:p>
    <w:p w14:paraId="558ECE97" w14:textId="7063E74B" w:rsidR="00285B13" w:rsidRPr="00CD4E37" w:rsidRDefault="00285B13" w:rsidP="00891282">
      <w:pPr>
        <w:tabs>
          <w:tab w:val="clear" w:pos="567"/>
        </w:tabs>
        <w:spacing w:line="240" w:lineRule="auto"/>
        <w:rPr>
          <w:szCs w:val="22"/>
          <w:lang w:val="nl-NL"/>
        </w:rPr>
      </w:pPr>
      <w:r w:rsidRPr="00CD4E37">
        <w:rPr>
          <w:lang w:val="nl-NL"/>
        </w:rPr>
        <w:t>Voorbeelden van sterke CYP3A</w:t>
      </w:r>
      <w:r w:rsidR="00F71968" w:rsidRPr="00CD4E37">
        <w:rPr>
          <w:lang w:val="nl-NL"/>
        </w:rPr>
        <w:t>/P</w:t>
      </w:r>
      <w:r w:rsidR="00BA56F1" w:rsidRPr="00CD4E37">
        <w:rPr>
          <w:lang w:val="nl-NL"/>
        </w:rPr>
        <w:t>-</w:t>
      </w:r>
      <w:r w:rsidR="00F71968" w:rsidRPr="00CD4E37">
        <w:rPr>
          <w:lang w:val="nl-NL"/>
        </w:rPr>
        <w:t>gp</w:t>
      </w:r>
      <w:r w:rsidRPr="00CD4E37">
        <w:rPr>
          <w:lang w:val="nl-NL"/>
        </w:rPr>
        <w:t xml:space="preserve">-remmers zijn onder andere </w:t>
      </w:r>
      <w:r w:rsidRPr="00CD4E37">
        <w:rPr>
          <w:szCs w:val="22"/>
          <w:lang w:val="nl-NL"/>
        </w:rPr>
        <w:t>itraconazol, posaconazol, voriconazol, claritromycine, nefazodon, telitromycine en antiretrovirale geneesmiddelen</w:t>
      </w:r>
      <w:r w:rsidR="00A342C3">
        <w:rPr>
          <w:szCs w:val="22"/>
          <w:lang w:val="nl-NL"/>
        </w:rPr>
        <w:t>.</w:t>
      </w:r>
      <w:r w:rsidR="005A4A63" w:rsidRPr="00CD4E37">
        <w:rPr>
          <w:szCs w:val="22"/>
          <w:lang w:val="nl-NL"/>
        </w:rPr>
        <w:t xml:space="preserve"> (Bepaalde geneesmiddelen die worden gebruikt voor de behandeling van hiv kunnen het risico op bijwerkingen verhogen </w:t>
      </w:r>
      <w:r w:rsidR="00A342C3">
        <w:rPr>
          <w:szCs w:val="22"/>
          <w:lang w:val="nl-NL"/>
        </w:rPr>
        <w:t>[</w:t>
      </w:r>
      <w:r w:rsidR="005A4A63" w:rsidRPr="00CD4E37">
        <w:rPr>
          <w:szCs w:val="22"/>
          <w:lang w:val="nl-NL"/>
        </w:rPr>
        <w:t>bijvoorbeeld ritonavir</w:t>
      </w:r>
      <w:r w:rsidR="00A342C3">
        <w:rPr>
          <w:szCs w:val="22"/>
          <w:lang w:val="nl-NL"/>
        </w:rPr>
        <w:t>]</w:t>
      </w:r>
      <w:r w:rsidR="005A4A63" w:rsidRPr="00CD4E37">
        <w:rPr>
          <w:szCs w:val="22"/>
          <w:lang w:val="nl-NL"/>
        </w:rPr>
        <w:t xml:space="preserve"> of kunnen de werkzaamheid van VANFLYTA verlagen </w:t>
      </w:r>
      <w:r w:rsidR="0033442D">
        <w:rPr>
          <w:szCs w:val="22"/>
          <w:lang w:val="nl-NL"/>
        </w:rPr>
        <w:t>[</w:t>
      </w:r>
      <w:r w:rsidR="005A4A63" w:rsidRPr="00CD4E37">
        <w:rPr>
          <w:szCs w:val="22"/>
          <w:lang w:val="nl-NL"/>
        </w:rPr>
        <w:t>bijvoorbeeld efavirenz of etravirine</w:t>
      </w:r>
      <w:r w:rsidR="0033442D">
        <w:rPr>
          <w:szCs w:val="22"/>
          <w:lang w:val="nl-NL"/>
        </w:rPr>
        <w:t>]</w:t>
      </w:r>
      <w:r w:rsidR="005A4A63" w:rsidRPr="00CD4E37">
        <w:rPr>
          <w:szCs w:val="22"/>
          <w:lang w:val="nl-NL"/>
        </w:rPr>
        <w:t>).</w:t>
      </w:r>
    </w:p>
    <w:p w14:paraId="62984E98" w14:textId="77777777" w:rsidR="00285B13" w:rsidRPr="00CD4E37" w:rsidRDefault="00285B13" w:rsidP="00891282">
      <w:pPr>
        <w:tabs>
          <w:tab w:val="clear" w:pos="567"/>
        </w:tabs>
        <w:spacing w:line="240" w:lineRule="auto"/>
        <w:rPr>
          <w:szCs w:val="22"/>
          <w:lang w:val="nl-NL"/>
        </w:rPr>
      </w:pPr>
    </w:p>
    <w:p w14:paraId="080C11F6"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lastRenderedPageBreak/>
        <w:t>Matige CYP3A-remmers</w:t>
      </w:r>
    </w:p>
    <w:p w14:paraId="5219BDB1" w14:textId="103EF07E" w:rsidR="00285B13" w:rsidRPr="00CD4E37" w:rsidRDefault="00285B13" w:rsidP="00891282">
      <w:pPr>
        <w:tabs>
          <w:tab w:val="clear" w:pos="567"/>
        </w:tabs>
        <w:spacing w:line="240" w:lineRule="auto"/>
        <w:rPr>
          <w:szCs w:val="22"/>
          <w:lang w:val="nl-NL"/>
        </w:rPr>
      </w:pPr>
      <w:r w:rsidRPr="00CD4E37">
        <w:rPr>
          <w:szCs w:val="22"/>
          <w:lang w:val="nl-NL"/>
        </w:rPr>
        <w:t>Na gelijktijdige toediening van fluconazol (200 mg tweemaal daags gedurende 28 dagen), een matige CYP3A-remmer, met een enkele dosis VANFLYTA was de C</w:t>
      </w:r>
      <w:r w:rsidRPr="00CD4E37">
        <w:rPr>
          <w:szCs w:val="22"/>
          <w:vertAlign w:val="subscript"/>
          <w:lang w:val="nl-NL"/>
        </w:rPr>
        <w:t>max</w:t>
      </w:r>
      <w:r w:rsidRPr="00CD4E37">
        <w:rPr>
          <w:szCs w:val="22"/>
          <w:lang w:val="nl-NL"/>
        </w:rPr>
        <w:t xml:space="preserve"> van quizartinib en AC886 verhoogd met respectievelijk </w:t>
      </w:r>
      <w:r w:rsidR="00317F2E" w:rsidRPr="00CD4E37">
        <w:rPr>
          <w:szCs w:val="22"/>
          <w:lang w:val="nl-NL"/>
        </w:rPr>
        <w:t>een factor 1,</w:t>
      </w:r>
      <w:r w:rsidRPr="00CD4E37">
        <w:rPr>
          <w:szCs w:val="22"/>
          <w:lang w:val="nl-NL"/>
        </w:rPr>
        <w:t xml:space="preserve">11 en </w:t>
      </w:r>
      <w:r w:rsidR="0057187F" w:rsidRPr="00CD4E37">
        <w:rPr>
          <w:szCs w:val="22"/>
          <w:lang w:val="nl-NL"/>
        </w:rPr>
        <w:t xml:space="preserve">een factor </w:t>
      </w:r>
      <w:r w:rsidR="00317F2E" w:rsidRPr="00CD4E37">
        <w:rPr>
          <w:szCs w:val="22"/>
          <w:lang w:val="nl-NL"/>
        </w:rPr>
        <w:t>1,02</w:t>
      </w:r>
      <w:r w:rsidRPr="00CD4E37">
        <w:rPr>
          <w:szCs w:val="22"/>
          <w:lang w:val="nl-NL"/>
        </w:rPr>
        <w:t>, en was de AUC</w:t>
      </w:r>
      <w:r w:rsidRPr="00CD4E37">
        <w:rPr>
          <w:szCs w:val="22"/>
          <w:vertAlign w:val="subscript"/>
          <w:lang w:val="nl-NL"/>
        </w:rPr>
        <w:t>inf</w:t>
      </w:r>
      <w:r w:rsidRPr="00CD4E37">
        <w:rPr>
          <w:szCs w:val="22"/>
          <w:lang w:val="nl-NL"/>
        </w:rPr>
        <w:t xml:space="preserve"> verhoogd met respectievelijk </w:t>
      </w:r>
      <w:r w:rsidR="00317F2E" w:rsidRPr="00CD4E37">
        <w:rPr>
          <w:szCs w:val="22"/>
          <w:lang w:val="nl-NL"/>
        </w:rPr>
        <w:t>een factor 1,</w:t>
      </w:r>
      <w:r w:rsidRPr="00CD4E37">
        <w:rPr>
          <w:szCs w:val="22"/>
          <w:lang w:val="nl-NL"/>
        </w:rPr>
        <w:t xml:space="preserve">20 en </w:t>
      </w:r>
      <w:r w:rsidR="0057187F" w:rsidRPr="00CD4E37">
        <w:rPr>
          <w:szCs w:val="22"/>
          <w:lang w:val="nl-NL"/>
        </w:rPr>
        <w:t xml:space="preserve">een factor </w:t>
      </w:r>
      <w:r w:rsidR="00317F2E" w:rsidRPr="00CD4E37">
        <w:rPr>
          <w:szCs w:val="22"/>
          <w:lang w:val="nl-NL"/>
        </w:rPr>
        <w:t>1,</w:t>
      </w:r>
      <w:r w:rsidRPr="00CD4E37">
        <w:rPr>
          <w:szCs w:val="22"/>
          <w:lang w:val="nl-NL"/>
        </w:rPr>
        <w:t>14. Deze verandering werd niet beschouwd als klinisch relevant. Een dosisaanpassing wordt niet aanbevolen.</w:t>
      </w:r>
    </w:p>
    <w:p w14:paraId="408F1966" w14:textId="77777777" w:rsidR="00285B13" w:rsidRPr="00CD4E37" w:rsidRDefault="00285B13" w:rsidP="00891282">
      <w:pPr>
        <w:tabs>
          <w:tab w:val="clear" w:pos="567"/>
        </w:tabs>
        <w:spacing w:line="240" w:lineRule="auto"/>
        <w:rPr>
          <w:szCs w:val="22"/>
          <w:lang w:val="nl-NL"/>
        </w:rPr>
      </w:pPr>
    </w:p>
    <w:p w14:paraId="4CCE3FB0" w14:textId="77777777" w:rsidR="00285B13" w:rsidRPr="00CD4E37" w:rsidRDefault="00285B13" w:rsidP="00891282">
      <w:pPr>
        <w:keepNext/>
        <w:tabs>
          <w:tab w:val="clear" w:pos="567"/>
        </w:tabs>
        <w:spacing w:line="240" w:lineRule="auto"/>
        <w:rPr>
          <w:i/>
          <w:szCs w:val="22"/>
          <w:lang w:val="nl-NL"/>
        </w:rPr>
      </w:pPr>
      <w:bookmarkStart w:id="15" w:name="_Hlk128568535"/>
      <w:r w:rsidRPr="00CD4E37">
        <w:rPr>
          <w:i/>
          <w:iCs/>
          <w:szCs w:val="22"/>
          <w:lang w:val="nl-NL"/>
        </w:rPr>
        <w:t>Sterke of matige CYP3A-inductoren</w:t>
      </w:r>
    </w:p>
    <w:p w14:paraId="1F6E106A" w14:textId="14192C2F" w:rsidR="00285B13" w:rsidRPr="00CD4E37" w:rsidRDefault="00285B13" w:rsidP="00891282">
      <w:pPr>
        <w:tabs>
          <w:tab w:val="clear" w:pos="567"/>
        </w:tabs>
        <w:spacing w:line="240" w:lineRule="auto"/>
        <w:rPr>
          <w:szCs w:val="22"/>
          <w:lang w:val="nl-NL"/>
        </w:rPr>
      </w:pPr>
      <w:r w:rsidRPr="00CD4E37">
        <w:rPr>
          <w:szCs w:val="22"/>
          <w:lang w:val="nl-NL"/>
        </w:rPr>
        <w:t>Na gelijktijdige toediening van efavirenz (lead-in-behandeling van 600 mg eenmaal daags gedurende 14 dagen), een matige CYP3A-inductor, met een enkele dosis VANFLYTA waren de C</w:t>
      </w:r>
      <w:r w:rsidRPr="00CD4E37">
        <w:rPr>
          <w:szCs w:val="22"/>
          <w:vertAlign w:val="subscript"/>
          <w:lang w:val="nl-NL"/>
        </w:rPr>
        <w:t>max</w:t>
      </w:r>
      <w:r w:rsidRPr="00CD4E37">
        <w:rPr>
          <w:szCs w:val="22"/>
          <w:lang w:val="nl-NL"/>
        </w:rPr>
        <w:t xml:space="preserve"> en AUC</w:t>
      </w:r>
      <w:r w:rsidRPr="00CD4E37">
        <w:rPr>
          <w:vertAlign w:val="subscript"/>
          <w:lang w:val="nl-NL"/>
        </w:rPr>
        <w:t>inf</w:t>
      </w:r>
      <w:r w:rsidRPr="00CD4E37">
        <w:rPr>
          <w:szCs w:val="22"/>
          <w:lang w:val="nl-NL"/>
        </w:rPr>
        <w:t xml:space="preserve"> van quizartinib verlaagd met respectievelijk ongeveer </w:t>
      </w:r>
      <w:r w:rsidR="00317F2E" w:rsidRPr="00CD4E37">
        <w:rPr>
          <w:szCs w:val="22"/>
          <w:lang w:val="nl-NL"/>
        </w:rPr>
        <w:t>een factor 1,18</w:t>
      </w:r>
      <w:r w:rsidRPr="00CD4E37">
        <w:rPr>
          <w:szCs w:val="22"/>
          <w:lang w:val="nl-NL"/>
        </w:rPr>
        <w:t xml:space="preserve"> en </w:t>
      </w:r>
      <w:r w:rsidR="0057187F" w:rsidRPr="00CD4E37">
        <w:rPr>
          <w:szCs w:val="22"/>
          <w:lang w:val="nl-NL"/>
        </w:rPr>
        <w:t xml:space="preserve">een factor </w:t>
      </w:r>
      <w:r w:rsidR="00317F2E" w:rsidRPr="00CD4E37">
        <w:rPr>
          <w:szCs w:val="22"/>
          <w:lang w:val="nl-NL"/>
        </w:rPr>
        <w:t>9,7</w:t>
      </w:r>
      <w:r w:rsidRPr="00CD4E37">
        <w:rPr>
          <w:szCs w:val="22"/>
          <w:lang w:val="nl-NL"/>
        </w:rPr>
        <w:t xml:space="preserve"> in vergelijking met alleen VANFLYTA. De C</w:t>
      </w:r>
      <w:r w:rsidRPr="00CD4E37">
        <w:rPr>
          <w:szCs w:val="22"/>
          <w:vertAlign w:val="subscript"/>
          <w:lang w:val="nl-NL"/>
        </w:rPr>
        <w:t>max</w:t>
      </w:r>
      <w:r w:rsidRPr="00CD4E37">
        <w:rPr>
          <w:szCs w:val="22"/>
          <w:lang w:val="nl-NL"/>
        </w:rPr>
        <w:t xml:space="preserve"> en AUC</w:t>
      </w:r>
      <w:r w:rsidRPr="00CD4E37">
        <w:rPr>
          <w:szCs w:val="22"/>
          <w:vertAlign w:val="subscript"/>
          <w:lang w:val="nl-NL"/>
        </w:rPr>
        <w:t>inf</w:t>
      </w:r>
      <w:r w:rsidRPr="00CD4E37">
        <w:rPr>
          <w:lang w:val="nl-NL"/>
        </w:rPr>
        <w:t xml:space="preserve"> </w:t>
      </w:r>
      <w:r w:rsidRPr="00CD4E37">
        <w:rPr>
          <w:szCs w:val="22"/>
          <w:lang w:val="nl-NL"/>
        </w:rPr>
        <w:t xml:space="preserve">van AC886 waren verlaagd met respectievelijk ongeveer </w:t>
      </w:r>
      <w:r w:rsidR="00317F2E" w:rsidRPr="00CD4E37">
        <w:rPr>
          <w:szCs w:val="22"/>
          <w:lang w:val="nl-NL"/>
        </w:rPr>
        <w:t>een factor 3,1</w:t>
      </w:r>
      <w:r w:rsidR="00F71968" w:rsidRPr="00CD4E37">
        <w:rPr>
          <w:szCs w:val="22"/>
          <w:lang w:val="nl-NL"/>
        </w:rPr>
        <w:t xml:space="preserve"> en </w:t>
      </w:r>
      <w:r w:rsidR="0057187F" w:rsidRPr="00CD4E37">
        <w:rPr>
          <w:szCs w:val="22"/>
          <w:lang w:val="nl-NL"/>
        </w:rPr>
        <w:t xml:space="preserve">een factor </w:t>
      </w:r>
      <w:r w:rsidR="00317F2E" w:rsidRPr="00CD4E37">
        <w:rPr>
          <w:szCs w:val="22"/>
          <w:lang w:val="nl-NL"/>
        </w:rPr>
        <w:t>26</w:t>
      </w:r>
      <w:r w:rsidRPr="00CD4E37">
        <w:rPr>
          <w:szCs w:val="22"/>
          <w:lang w:val="nl-NL"/>
        </w:rPr>
        <w:t xml:space="preserve"> (zie rubriek 5.2).</w:t>
      </w:r>
    </w:p>
    <w:bookmarkEnd w:id="15"/>
    <w:p w14:paraId="5C78854D" w14:textId="77777777" w:rsidR="00285B13" w:rsidRPr="00CD4E37" w:rsidRDefault="00285B13" w:rsidP="00891282">
      <w:pPr>
        <w:tabs>
          <w:tab w:val="clear" w:pos="567"/>
        </w:tabs>
        <w:spacing w:line="240" w:lineRule="auto"/>
        <w:rPr>
          <w:szCs w:val="22"/>
          <w:lang w:val="nl-NL"/>
        </w:rPr>
      </w:pPr>
    </w:p>
    <w:p w14:paraId="169ED02A" w14:textId="77777777" w:rsidR="00285B13" w:rsidRPr="00CD4E37" w:rsidRDefault="00285B13" w:rsidP="00891282">
      <w:pPr>
        <w:tabs>
          <w:tab w:val="clear" w:pos="567"/>
        </w:tabs>
        <w:spacing w:line="240" w:lineRule="auto"/>
        <w:rPr>
          <w:szCs w:val="22"/>
          <w:lang w:val="nl-NL"/>
        </w:rPr>
      </w:pPr>
      <w:bookmarkStart w:id="16" w:name="_Hlk102663358"/>
      <w:r w:rsidRPr="00CD4E37">
        <w:rPr>
          <w:szCs w:val="22"/>
          <w:lang w:val="nl-NL"/>
        </w:rPr>
        <w:t xml:space="preserve">Een verlaagde blootstelling aan quizartinib kan leiden tot een verminderde werkzaamheid. </w:t>
      </w:r>
      <w:bookmarkStart w:id="17" w:name="_Hlk102663393"/>
      <w:bookmarkEnd w:id="16"/>
      <w:r w:rsidRPr="00CD4E37">
        <w:rPr>
          <w:szCs w:val="22"/>
          <w:lang w:val="nl-NL"/>
        </w:rPr>
        <w:t>Gelijktijdige toediening van VANFLYTA met sterke of matige CYP3A-inductoren dient te worden vermeden.</w:t>
      </w:r>
    </w:p>
    <w:bookmarkEnd w:id="17"/>
    <w:p w14:paraId="65A49207" w14:textId="77777777" w:rsidR="00285B13" w:rsidRPr="00CD4E37" w:rsidRDefault="00285B13" w:rsidP="00891282">
      <w:pPr>
        <w:tabs>
          <w:tab w:val="clear" w:pos="567"/>
        </w:tabs>
        <w:spacing w:line="240" w:lineRule="auto"/>
        <w:rPr>
          <w:szCs w:val="22"/>
          <w:lang w:val="nl-NL"/>
        </w:rPr>
      </w:pPr>
    </w:p>
    <w:p w14:paraId="75830E47" w14:textId="77777777" w:rsidR="00285B13" w:rsidRPr="00CD4E37" w:rsidRDefault="00285B13" w:rsidP="00891282">
      <w:pPr>
        <w:tabs>
          <w:tab w:val="clear" w:pos="567"/>
        </w:tabs>
        <w:spacing w:line="240" w:lineRule="auto"/>
        <w:rPr>
          <w:szCs w:val="22"/>
          <w:lang w:val="nl-NL"/>
        </w:rPr>
      </w:pPr>
      <w:r w:rsidRPr="00CD4E37">
        <w:rPr>
          <w:szCs w:val="22"/>
          <w:lang w:val="nl-NL"/>
        </w:rPr>
        <w:t xml:space="preserve">Voorbeelden van sterke CYP3A4-inductoren zijn onder andere apalutamide, carbamazepine, enzalutamide, mitotaan, fenytoïne, rifampicine en bepaalde kruidenmiddelen zoals sint-janskruid (ook wel bekend als </w:t>
      </w:r>
      <w:r w:rsidRPr="00CD4E37">
        <w:rPr>
          <w:i/>
          <w:iCs/>
          <w:szCs w:val="22"/>
          <w:lang w:val="nl-NL"/>
        </w:rPr>
        <w:t>Hypericum perforatum</w:t>
      </w:r>
      <w:r w:rsidRPr="00CD4E37">
        <w:rPr>
          <w:szCs w:val="22"/>
          <w:lang w:val="nl-NL"/>
        </w:rPr>
        <w:t>). Voorbeelden van matige CYP3A4-inductoren zijn onder andere efavirenz, bosentan, etravirine, fenobarbital en primidon.</w:t>
      </w:r>
    </w:p>
    <w:p w14:paraId="3FC79DAC" w14:textId="77777777" w:rsidR="00285B13" w:rsidRPr="00CD4E37" w:rsidRDefault="00285B13" w:rsidP="00891282">
      <w:pPr>
        <w:tabs>
          <w:tab w:val="clear" w:pos="567"/>
        </w:tabs>
        <w:spacing w:line="240" w:lineRule="auto"/>
        <w:rPr>
          <w:szCs w:val="22"/>
          <w:lang w:val="nl-NL"/>
        </w:rPr>
      </w:pPr>
    </w:p>
    <w:p w14:paraId="6F670F9A"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Geneesmiddelen die het QT-interval verlengen</w:t>
      </w:r>
    </w:p>
    <w:p w14:paraId="5FCE76F6" w14:textId="79530B95" w:rsidR="00285B13" w:rsidRPr="00CD4E37" w:rsidRDefault="00285B13" w:rsidP="00891282">
      <w:pPr>
        <w:tabs>
          <w:tab w:val="clear" w:pos="567"/>
        </w:tabs>
        <w:spacing w:line="240" w:lineRule="auto"/>
        <w:rPr>
          <w:szCs w:val="22"/>
          <w:lang w:val="nl-NL"/>
        </w:rPr>
      </w:pPr>
      <w:r w:rsidRPr="00CD4E37">
        <w:rPr>
          <w:szCs w:val="22"/>
          <w:lang w:val="nl-NL"/>
        </w:rPr>
        <w:t xml:space="preserve">Gelijktijdige toediening van VANFLYTA met andere geneesmiddelen die het QT-interval verlengen, kan leiden tot een verdere toename van de incidentie van verlenging van het QT-interval. </w:t>
      </w:r>
      <w:r w:rsidR="00FA35B8" w:rsidRPr="00CD4E37">
        <w:rPr>
          <w:szCs w:val="22"/>
          <w:lang w:val="nl-NL"/>
        </w:rPr>
        <w:t xml:space="preserve">Voorbeelden van geneesmiddelen die het QT-interval verlengen zijn onder andere, maar niet beperkt tot azool-antimycotica, ondansetron, granisetron, azitromycine, pentamidine, doxycycline, moxifloxacine, atovaquon, prochloorperazine en tacrolimus. </w:t>
      </w:r>
      <w:r w:rsidRPr="00CD4E37">
        <w:rPr>
          <w:szCs w:val="22"/>
          <w:lang w:val="nl-NL"/>
        </w:rPr>
        <w:t>Voorzichtigheid is geboden bij gelijktijdige toediening van VANFLYTA met geneesmiddelen die het QT-interval verlengen (zie rubriek 4.4).</w:t>
      </w:r>
    </w:p>
    <w:p w14:paraId="0EB6AA7D" w14:textId="77777777" w:rsidR="00285B13" w:rsidRPr="00CD4E37" w:rsidRDefault="00285B13" w:rsidP="00891282">
      <w:pPr>
        <w:tabs>
          <w:tab w:val="clear" w:pos="567"/>
        </w:tabs>
        <w:spacing w:line="240" w:lineRule="auto"/>
        <w:rPr>
          <w:szCs w:val="22"/>
          <w:lang w:val="nl-NL"/>
        </w:rPr>
      </w:pPr>
    </w:p>
    <w:p w14:paraId="10B73F33"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Maagzuurverlagende middelen</w:t>
      </w:r>
    </w:p>
    <w:p w14:paraId="61004D6F" w14:textId="76FA4431" w:rsidR="00285B13" w:rsidRPr="00CD4E37" w:rsidRDefault="00285B13" w:rsidP="00891282">
      <w:pPr>
        <w:tabs>
          <w:tab w:val="clear" w:pos="567"/>
        </w:tabs>
        <w:spacing w:line="240" w:lineRule="auto"/>
        <w:rPr>
          <w:szCs w:val="22"/>
          <w:lang w:val="nl-NL"/>
        </w:rPr>
      </w:pPr>
      <w:r w:rsidRPr="00CD4E37">
        <w:rPr>
          <w:lang w:val="nl-NL"/>
        </w:rPr>
        <w:t>De protonpompremmer lansoprazol leidde tot een afname van de C</w:t>
      </w:r>
      <w:r w:rsidRPr="00CD4E37">
        <w:rPr>
          <w:vertAlign w:val="subscript"/>
          <w:lang w:val="nl-NL"/>
        </w:rPr>
        <w:t>max</w:t>
      </w:r>
      <w:r w:rsidRPr="00CD4E37">
        <w:rPr>
          <w:lang w:val="nl-NL"/>
        </w:rPr>
        <w:t xml:space="preserve"> van quizartinib met </w:t>
      </w:r>
      <w:r w:rsidR="00317F2E" w:rsidRPr="00CD4E37">
        <w:rPr>
          <w:lang w:val="nl-NL"/>
        </w:rPr>
        <w:t>een factor 1,16</w:t>
      </w:r>
      <w:r w:rsidRPr="00CD4E37">
        <w:rPr>
          <w:lang w:val="nl-NL"/>
        </w:rPr>
        <w:t xml:space="preserve"> en van de AUC</w:t>
      </w:r>
      <w:r w:rsidRPr="00CD4E37">
        <w:rPr>
          <w:vertAlign w:val="subscript"/>
          <w:lang w:val="nl-NL"/>
        </w:rPr>
        <w:t>inf</w:t>
      </w:r>
      <w:r w:rsidRPr="00CD4E37">
        <w:rPr>
          <w:lang w:val="nl-NL"/>
        </w:rPr>
        <w:t xml:space="preserve"> van quizartinib met </w:t>
      </w:r>
      <w:r w:rsidR="00317F2E" w:rsidRPr="00CD4E37">
        <w:rPr>
          <w:lang w:val="nl-NL"/>
        </w:rPr>
        <w:t>een factor 1,05</w:t>
      </w:r>
      <w:r w:rsidRPr="00CD4E37">
        <w:rPr>
          <w:lang w:val="nl-NL"/>
        </w:rPr>
        <w:t xml:space="preserve">. Deze afname in absorptie van quizartinib werd niet beschouwd als klinisch relevant. </w:t>
      </w:r>
      <w:r w:rsidRPr="00CD4E37">
        <w:rPr>
          <w:szCs w:val="22"/>
          <w:lang w:val="nl-NL"/>
        </w:rPr>
        <w:t>Een dosisaanpassing wordt niet aanbevolen.</w:t>
      </w:r>
    </w:p>
    <w:p w14:paraId="63A78738" w14:textId="77777777" w:rsidR="00285B13" w:rsidRPr="00CD4E37" w:rsidRDefault="00285B13" w:rsidP="00891282">
      <w:pPr>
        <w:tabs>
          <w:tab w:val="clear" w:pos="567"/>
        </w:tabs>
        <w:spacing w:line="240" w:lineRule="auto"/>
        <w:rPr>
          <w:szCs w:val="22"/>
          <w:lang w:val="nl-NL"/>
        </w:rPr>
      </w:pPr>
    </w:p>
    <w:p w14:paraId="2CFB5EC3"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Effect van VANFLYTA op andere geneesmiddelen</w:t>
      </w:r>
    </w:p>
    <w:p w14:paraId="426F3C80" w14:textId="77777777" w:rsidR="00285B13" w:rsidRPr="00CD4E37" w:rsidRDefault="00285B13" w:rsidP="00891282">
      <w:pPr>
        <w:keepNext/>
        <w:tabs>
          <w:tab w:val="clear" w:pos="567"/>
        </w:tabs>
        <w:spacing w:line="240" w:lineRule="auto"/>
        <w:rPr>
          <w:iCs/>
          <w:szCs w:val="22"/>
          <w:lang w:val="nl-NL"/>
        </w:rPr>
      </w:pPr>
    </w:p>
    <w:p w14:paraId="4070D64A"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Substraten van P-glycoproteïne (P-gp)</w:t>
      </w:r>
    </w:p>
    <w:p w14:paraId="43D99BEA" w14:textId="4CF60CF3" w:rsidR="00285B13" w:rsidRPr="00CD4E37" w:rsidRDefault="00285B13" w:rsidP="00891282">
      <w:pPr>
        <w:tabs>
          <w:tab w:val="clear" w:pos="567"/>
        </w:tabs>
        <w:spacing w:line="240" w:lineRule="auto"/>
        <w:rPr>
          <w:szCs w:val="22"/>
          <w:lang w:val="nl-NL"/>
        </w:rPr>
      </w:pPr>
      <w:r w:rsidRPr="00CD4E37">
        <w:rPr>
          <w:lang w:val="nl-NL"/>
        </w:rPr>
        <w:t>Na gelijktijdige toediening van quizartinib en dabigatran</w:t>
      </w:r>
      <w:r w:rsidR="00EA4BC6">
        <w:rPr>
          <w:lang w:val="nl-NL"/>
        </w:rPr>
        <w:t>-</w:t>
      </w:r>
      <w:r w:rsidRPr="00CD4E37">
        <w:rPr>
          <w:lang w:val="nl-NL"/>
        </w:rPr>
        <w:t xml:space="preserve">etexilaat (een substraat van P-gp) </w:t>
      </w:r>
      <w:r w:rsidR="0048344C">
        <w:rPr>
          <w:lang w:val="nl-NL"/>
        </w:rPr>
        <w:t>steeg</w:t>
      </w:r>
      <w:r w:rsidR="00E62279" w:rsidRPr="00CD4E37">
        <w:rPr>
          <w:lang w:val="nl-NL"/>
        </w:rPr>
        <w:t xml:space="preserve"> </w:t>
      </w:r>
      <w:r w:rsidRPr="00CD4E37">
        <w:rPr>
          <w:lang w:val="nl-NL"/>
        </w:rPr>
        <w:t>de C</w:t>
      </w:r>
      <w:r w:rsidRPr="00CD4E37">
        <w:rPr>
          <w:vertAlign w:val="subscript"/>
          <w:lang w:val="nl-NL"/>
        </w:rPr>
        <w:t>max</w:t>
      </w:r>
      <w:r w:rsidRPr="00CD4E37">
        <w:rPr>
          <w:lang w:val="nl-NL"/>
        </w:rPr>
        <w:t xml:space="preserve"> van totaal en ongebonden dabigatran met respectievelijk </w:t>
      </w:r>
      <w:r w:rsidR="00317F2E" w:rsidRPr="00CD4E37">
        <w:rPr>
          <w:lang w:val="nl-NL"/>
        </w:rPr>
        <w:t>een factor 1,</w:t>
      </w:r>
      <w:r w:rsidRPr="00CD4E37">
        <w:rPr>
          <w:lang w:val="nl-NL"/>
        </w:rPr>
        <w:t>12</w:t>
      </w:r>
      <w:r w:rsidR="003B5750" w:rsidRPr="00CD4E37">
        <w:rPr>
          <w:szCs w:val="22"/>
          <w:lang w:val="nl-NL"/>
        </w:rPr>
        <w:t> </w:t>
      </w:r>
      <w:r w:rsidR="00F71968" w:rsidRPr="00CD4E37">
        <w:rPr>
          <w:lang w:val="nl-NL"/>
        </w:rPr>
        <w:t xml:space="preserve">en </w:t>
      </w:r>
      <w:r w:rsidR="00205960" w:rsidRPr="00CD4E37">
        <w:rPr>
          <w:szCs w:val="22"/>
          <w:lang w:val="nl-NL"/>
        </w:rPr>
        <w:t xml:space="preserve">een factor </w:t>
      </w:r>
      <w:r w:rsidR="00317F2E" w:rsidRPr="00CD4E37">
        <w:rPr>
          <w:lang w:val="nl-NL"/>
        </w:rPr>
        <w:t>1,</w:t>
      </w:r>
      <w:r w:rsidR="00F71968" w:rsidRPr="00CD4E37">
        <w:rPr>
          <w:lang w:val="nl-NL"/>
        </w:rPr>
        <w:t>13</w:t>
      </w:r>
      <w:r w:rsidRPr="00CD4E37">
        <w:rPr>
          <w:lang w:val="nl-NL"/>
        </w:rPr>
        <w:t xml:space="preserve">, en </w:t>
      </w:r>
      <w:r w:rsidR="0048344C">
        <w:rPr>
          <w:lang w:val="nl-NL"/>
        </w:rPr>
        <w:t>steeg</w:t>
      </w:r>
      <w:r w:rsidR="001E1530" w:rsidRPr="00CD4E37">
        <w:rPr>
          <w:lang w:val="nl-NL"/>
        </w:rPr>
        <w:t xml:space="preserve"> </w:t>
      </w:r>
      <w:r w:rsidRPr="00CD4E37">
        <w:rPr>
          <w:lang w:val="nl-NL"/>
        </w:rPr>
        <w:t>de AUC</w:t>
      </w:r>
      <w:r w:rsidRPr="00CD4E37">
        <w:rPr>
          <w:vertAlign w:val="subscript"/>
          <w:lang w:val="nl-NL"/>
        </w:rPr>
        <w:t>inf</w:t>
      </w:r>
      <w:r w:rsidRPr="00CD4E37">
        <w:rPr>
          <w:lang w:val="nl-NL"/>
        </w:rPr>
        <w:t xml:space="preserve"> van totaal en ongebonden dabigatran met respectievelijk </w:t>
      </w:r>
      <w:r w:rsidR="00317F2E" w:rsidRPr="00CD4E37">
        <w:rPr>
          <w:lang w:val="nl-NL"/>
        </w:rPr>
        <w:t>een factor 1,13</w:t>
      </w:r>
      <w:r w:rsidRPr="00CD4E37">
        <w:rPr>
          <w:lang w:val="nl-NL"/>
        </w:rPr>
        <w:t xml:space="preserve"> en </w:t>
      </w:r>
      <w:r w:rsidR="00205960" w:rsidRPr="00CD4E37">
        <w:rPr>
          <w:szCs w:val="22"/>
          <w:lang w:val="nl-NL"/>
        </w:rPr>
        <w:t xml:space="preserve">een factor </w:t>
      </w:r>
      <w:r w:rsidR="00317F2E" w:rsidRPr="00CD4E37">
        <w:rPr>
          <w:lang w:val="nl-NL"/>
        </w:rPr>
        <w:t>1,11</w:t>
      </w:r>
      <w:r w:rsidRPr="00CD4E37">
        <w:rPr>
          <w:lang w:val="nl-NL"/>
        </w:rPr>
        <w:t xml:space="preserve"> (zie rubriek 5.2). Quizartinib is een zwakke P-gp-remmer; er wordt geen dosisaanpassing </w:t>
      </w:r>
      <w:r w:rsidRPr="00CD4E37">
        <w:rPr>
          <w:szCs w:val="22"/>
          <w:lang w:val="nl-NL"/>
        </w:rPr>
        <w:t>aanbevolen bij gelijktijdige toediening van substraten van P-gp en VANFLYTA.</w:t>
      </w:r>
    </w:p>
    <w:p w14:paraId="2645391E" w14:textId="77777777" w:rsidR="00285B13" w:rsidRPr="00CD4E37" w:rsidRDefault="00285B13" w:rsidP="00891282">
      <w:pPr>
        <w:tabs>
          <w:tab w:val="clear" w:pos="567"/>
        </w:tabs>
        <w:spacing w:line="240" w:lineRule="auto"/>
        <w:rPr>
          <w:szCs w:val="22"/>
          <w:lang w:val="nl-NL"/>
        </w:rPr>
      </w:pPr>
    </w:p>
    <w:p w14:paraId="48ACF8C2" w14:textId="77777777" w:rsidR="00285B13" w:rsidRPr="00CD4E37" w:rsidRDefault="00285B13" w:rsidP="00891282">
      <w:pPr>
        <w:keepNext/>
        <w:spacing w:line="240" w:lineRule="auto"/>
        <w:rPr>
          <w:b/>
          <w:szCs w:val="22"/>
          <w:lang w:val="nl-NL"/>
        </w:rPr>
      </w:pPr>
      <w:r w:rsidRPr="00CD4E37">
        <w:rPr>
          <w:b/>
          <w:bCs/>
          <w:szCs w:val="22"/>
          <w:lang w:val="nl-NL"/>
        </w:rPr>
        <w:t>4.6</w:t>
      </w:r>
      <w:r w:rsidRPr="00CD4E37">
        <w:rPr>
          <w:b/>
          <w:bCs/>
          <w:szCs w:val="22"/>
          <w:lang w:val="nl-NL"/>
        </w:rPr>
        <w:tab/>
        <w:t>Vruchtbaarheid, zwangerschap en borstvoeding</w:t>
      </w:r>
    </w:p>
    <w:p w14:paraId="2ED0018B" w14:textId="77777777" w:rsidR="00285B13" w:rsidRPr="00CD4E37" w:rsidRDefault="00285B13" w:rsidP="00891282">
      <w:pPr>
        <w:keepNext/>
        <w:tabs>
          <w:tab w:val="clear" w:pos="567"/>
        </w:tabs>
        <w:spacing w:line="240" w:lineRule="auto"/>
        <w:rPr>
          <w:szCs w:val="22"/>
          <w:lang w:val="nl-NL"/>
        </w:rPr>
      </w:pPr>
    </w:p>
    <w:p w14:paraId="7CD80DE1"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Vrouwen die zwanger kunnen worden/anticonceptie bij mannen en vrouwen</w:t>
      </w:r>
    </w:p>
    <w:p w14:paraId="07996F85" w14:textId="77777777" w:rsidR="00285B13" w:rsidRPr="00CD4E37" w:rsidRDefault="00285B13" w:rsidP="00891282">
      <w:pPr>
        <w:keepNext/>
        <w:tabs>
          <w:tab w:val="clear" w:pos="567"/>
        </w:tabs>
        <w:spacing w:line="240" w:lineRule="auto"/>
        <w:rPr>
          <w:szCs w:val="22"/>
          <w:lang w:val="nl-NL"/>
        </w:rPr>
      </w:pPr>
    </w:p>
    <w:p w14:paraId="245801AF" w14:textId="77777777" w:rsidR="00285B13" w:rsidRPr="00CD4E37" w:rsidRDefault="00285B13" w:rsidP="00891282">
      <w:pPr>
        <w:tabs>
          <w:tab w:val="clear" w:pos="567"/>
        </w:tabs>
        <w:spacing w:line="240" w:lineRule="auto"/>
        <w:rPr>
          <w:szCs w:val="22"/>
          <w:lang w:val="nl-NL"/>
        </w:rPr>
      </w:pPr>
      <w:r w:rsidRPr="00CD4E37">
        <w:rPr>
          <w:szCs w:val="22"/>
          <w:lang w:val="nl-NL"/>
        </w:rPr>
        <w:t>Vrouwen die zwanger kunnen worden, moeten een zwangerschapstest ondergaan binnen 7 dagen voordat een behandeling met VANFLYTA wordt gestart.</w:t>
      </w:r>
    </w:p>
    <w:p w14:paraId="5F454B2C" w14:textId="77777777" w:rsidR="00285B13" w:rsidRPr="00CD4E37" w:rsidRDefault="00285B13" w:rsidP="00891282">
      <w:pPr>
        <w:tabs>
          <w:tab w:val="clear" w:pos="567"/>
        </w:tabs>
        <w:spacing w:line="240" w:lineRule="auto"/>
        <w:rPr>
          <w:szCs w:val="22"/>
          <w:lang w:val="nl-NL"/>
        </w:rPr>
      </w:pPr>
    </w:p>
    <w:p w14:paraId="0061C475" w14:textId="77777777" w:rsidR="00285B13" w:rsidRPr="00CD4E37" w:rsidRDefault="00285B13" w:rsidP="00891282">
      <w:pPr>
        <w:tabs>
          <w:tab w:val="clear" w:pos="567"/>
        </w:tabs>
        <w:spacing w:line="240" w:lineRule="auto"/>
        <w:rPr>
          <w:szCs w:val="22"/>
          <w:lang w:val="nl-NL"/>
        </w:rPr>
      </w:pPr>
      <w:r w:rsidRPr="00CD4E37">
        <w:rPr>
          <w:szCs w:val="22"/>
          <w:lang w:val="nl-NL"/>
        </w:rPr>
        <w:t>Quizartinib kan embryofoetale schade veroorzaken bij toediening aan zwangere vrouwen (zie rubriek 5.3). Daarom moeten vrouwen die zwanger kunnen worden, effectieve anticonceptie gebruiken tijdens behandeling met VANFLYTA en gedurende ten minste 7 maanden na de laatste dosis.</w:t>
      </w:r>
    </w:p>
    <w:p w14:paraId="41BA7E71" w14:textId="77777777" w:rsidR="00285B13" w:rsidRPr="00CD4E37" w:rsidRDefault="00285B13" w:rsidP="00891282">
      <w:pPr>
        <w:tabs>
          <w:tab w:val="clear" w:pos="567"/>
        </w:tabs>
        <w:spacing w:line="240" w:lineRule="auto"/>
        <w:rPr>
          <w:szCs w:val="22"/>
          <w:lang w:val="nl-NL"/>
        </w:rPr>
      </w:pPr>
    </w:p>
    <w:p w14:paraId="2A9188E6" w14:textId="77777777" w:rsidR="00285B13" w:rsidRPr="00CD4E37" w:rsidRDefault="00285B13" w:rsidP="00891282">
      <w:pPr>
        <w:tabs>
          <w:tab w:val="clear" w:pos="567"/>
        </w:tabs>
        <w:spacing w:line="240" w:lineRule="auto"/>
        <w:rPr>
          <w:szCs w:val="22"/>
          <w:lang w:val="nl-NL"/>
        </w:rPr>
      </w:pPr>
      <w:r w:rsidRPr="00CD4E37">
        <w:rPr>
          <w:szCs w:val="22"/>
          <w:lang w:val="nl-NL"/>
        </w:rPr>
        <w:lastRenderedPageBreak/>
        <w:t>Mannen met een vrouwelijke partner die zwanger kan worden, moeten effectieve anticonceptie gebruiken tijdens behandeling met VANFLYTA en gedurende ten minste 4 maanden na de laatste dosis.</w:t>
      </w:r>
    </w:p>
    <w:p w14:paraId="2C3DAB3C" w14:textId="77777777" w:rsidR="00285B13" w:rsidRPr="00CD4E37" w:rsidRDefault="00285B13" w:rsidP="00891282">
      <w:pPr>
        <w:tabs>
          <w:tab w:val="clear" w:pos="567"/>
        </w:tabs>
        <w:spacing w:line="240" w:lineRule="auto"/>
        <w:rPr>
          <w:szCs w:val="22"/>
          <w:lang w:val="nl-NL"/>
        </w:rPr>
      </w:pPr>
    </w:p>
    <w:p w14:paraId="54DEE1CE"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Zwangerschap</w:t>
      </w:r>
    </w:p>
    <w:p w14:paraId="058980D8" w14:textId="77777777" w:rsidR="00285B13" w:rsidRPr="00CD4E37" w:rsidRDefault="00285B13" w:rsidP="00891282">
      <w:pPr>
        <w:keepNext/>
        <w:tabs>
          <w:tab w:val="clear" w:pos="567"/>
        </w:tabs>
        <w:spacing w:line="240" w:lineRule="auto"/>
        <w:rPr>
          <w:szCs w:val="22"/>
          <w:lang w:val="nl-NL"/>
        </w:rPr>
      </w:pPr>
    </w:p>
    <w:p w14:paraId="07208C41" w14:textId="77777777" w:rsidR="00285B13" w:rsidRPr="00CD4E37" w:rsidRDefault="00285B13" w:rsidP="00891282">
      <w:pPr>
        <w:tabs>
          <w:tab w:val="clear" w:pos="567"/>
        </w:tabs>
        <w:spacing w:line="240" w:lineRule="auto"/>
        <w:rPr>
          <w:szCs w:val="22"/>
          <w:lang w:val="nl-NL"/>
        </w:rPr>
      </w:pPr>
      <w:r w:rsidRPr="00CD4E37">
        <w:rPr>
          <w:szCs w:val="22"/>
          <w:lang w:val="nl-NL"/>
        </w:rPr>
        <w:t>Er zijn geen gegevens over het gebruik van quizartinib bij zwangere vrouwen. Op basis van bevindingen bij dieren kan quizartinib embryofoetale toxiciteit veroorzaken bij toediening aan zwangere vrouwen (zie rubriek 5.3).</w:t>
      </w:r>
    </w:p>
    <w:p w14:paraId="06B14C6B" w14:textId="77777777" w:rsidR="00285B13" w:rsidRPr="00CD4E37" w:rsidRDefault="00285B13" w:rsidP="00891282">
      <w:pPr>
        <w:tabs>
          <w:tab w:val="clear" w:pos="567"/>
        </w:tabs>
        <w:spacing w:line="240" w:lineRule="auto"/>
        <w:rPr>
          <w:szCs w:val="22"/>
          <w:lang w:val="nl-NL"/>
        </w:rPr>
      </w:pPr>
    </w:p>
    <w:p w14:paraId="5ACD5E31" w14:textId="77777777" w:rsidR="00285B13" w:rsidRPr="00CD4E37" w:rsidRDefault="00285B13" w:rsidP="00891282">
      <w:pPr>
        <w:tabs>
          <w:tab w:val="clear" w:pos="567"/>
        </w:tabs>
        <w:spacing w:line="240" w:lineRule="auto"/>
        <w:rPr>
          <w:szCs w:val="22"/>
          <w:lang w:val="nl-NL"/>
        </w:rPr>
      </w:pPr>
      <w:bookmarkStart w:id="18" w:name="_Hlk94616409"/>
      <w:r w:rsidRPr="00CD4E37">
        <w:rPr>
          <w:szCs w:val="22"/>
          <w:lang w:val="nl-NL"/>
        </w:rPr>
        <w:t xml:space="preserve">VANFLYTA mag niet worden gebruikt tijdens de zwangerschap en bij vrouwen die zwanger kunnen worden en geen anticonceptie toepassen, tenzij de klinische toestand van de vrouw behandeling noodzakelijk maakt. </w:t>
      </w:r>
      <w:bookmarkEnd w:id="18"/>
      <w:r w:rsidRPr="00CD4E37">
        <w:rPr>
          <w:szCs w:val="22"/>
          <w:lang w:val="nl-NL"/>
        </w:rPr>
        <w:t>Zwangere vrouwen moeten worden geïnformeerd over het potentiële risico voor de foetus.</w:t>
      </w:r>
    </w:p>
    <w:p w14:paraId="13A355EB" w14:textId="77777777" w:rsidR="00285B13" w:rsidRPr="00CD4E37" w:rsidRDefault="00285B13" w:rsidP="00891282">
      <w:pPr>
        <w:tabs>
          <w:tab w:val="clear" w:pos="567"/>
        </w:tabs>
        <w:spacing w:line="240" w:lineRule="auto"/>
        <w:rPr>
          <w:szCs w:val="22"/>
          <w:lang w:val="nl-NL"/>
        </w:rPr>
      </w:pPr>
    </w:p>
    <w:p w14:paraId="7C23E339"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Borstvoeding</w:t>
      </w:r>
    </w:p>
    <w:p w14:paraId="07D0ED28" w14:textId="77777777" w:rsidR="00285B13" w:rsidRPr="00CD4E37" w:rsidRDefault="00285B13" w:rsidP="00891282">
      <w:pPr>
        <w:keepNext/>
        <w:tabs>
          <w:tab w:val="clear" w:pos="567"/>
        </w:tabs>
        <w:spacing w:line="240" w:lineRule="auto"/>
        <w:rPr>
          <w:szCs w:val="22"/>
          <w:lang w:val="nl-NL"/>
        </w:rPr>
      </w:pPr>
    </w:p>
    <w:p w14:paraId="7526DD49" w14:textId="196A48CD" w:rsidR="00285B13" w:rsidRPr="00CD4E37" w:rsidRDefault="00285B13" w:rsidP="00891282">
      <w:pPr>
        <w:tabs>
          <w:tab w:val="clear" w:pos="567"/>
        </w:tabs>
        <w:spacing w:line="240" w:lineRule="auto"/>
        <w:rPr>
          <w:szCs w:val="22"/>
          <w:lang w:val="nl-NL"/>
        </w:rPr>
      </w:pPr>
      <w:r w:rsidRPr="00CD4E37">
        <w:rPr>
          <w:szCs w:val="22"/>
          <w:lang w:val="nl-NL"/>
        </w:rPr>
        <w:t>Het is niet bekend of quizartinib of zijn actieve metabolieten in de moedermelk worden uitgescheiden. Risico voor met moedermelk gevoede kinderen kan niet worden uitgesloten. Vanwege de kans op ernstige bijwerkingen bij met moedermelk gevoede kinderen, mogen vrouwen geen borstvoeding geven tijdens behandeling met VANFLYTA en gedurende ten minste 5 weken na de laatste dosis</w:t>
      </w:r>
      <w:r w:rsidR="00973F23" w:rsidRPr="00CD4E37">
        <w:rPr>
          <w:szCs w:val="22"/>
          <w:lang w:val="nl-NL"/>
        </w:rPr>
        <w:t xml:space="preserve"> (zie rubriek 4.3)</w:t>
      </w:r>
      <w:r w:rsidRPr="00CD4E37">
        <w:rPr>
          <w:szCs w:val="22"/>
          <w:lang w:val="nl-NL"/>
        </w:rPr>
        <w:t>.</w:t>
      </w:r>
    </w:p>
    <w:p w14:paraId="6F043DD7" w14:textId="77777777" w:rsidR="00285B13" w:rsidRPr="00CD4E37" w:rsidRDefault="00285B13" w:rsidP="00891282">
      <w:pPr>
        <w:tabs>
          <w:tab w:val="clear" w:pos="567"/>
        </w:tabs>
        <w:spacing w:line="240" w:lineRule="auto"/>
        <w:rPr>
          <w:szCs w:val="22"/>
          <w:lang w:val="nl-NL"/>
        </w:rPr>
      </w:pPr>
    </w:p>
    <w:p w14:paraId="10C558EB"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Vruchtbaarheid</w:t>
      </w:r>
    </w:p>
    <w:p w14:paraId="7DF0F3ED" w14:textId="77777777" w:rsidR="00285B13" w:rsidRPr="00CD4E37" w:rsidRDefault="00285B13" w:rsidP="00891282">
      <w:pPr>
        <w:keepNext/>
        <w:tabs>
          <w:tab w:val="clear" w:pos="567"/>
        </w:tabs>
        <w:spacing w:line="240" w:lineRule="auto"/>
        <w:rPr>
          <w:szCs w:val="22"/>
          <w:lang w:val="nl-NL"/>
        </w:rPr>
      </w:pPr>
    </w:p>
    <w:p w14:paraId="1FCAD305" w14:textId="165B9C86" w:rsidR="00285B13" w:rsidRPr="00CD4E37" w:rsidRDefault="00285B13" w:rsidP="00891282">
      <w:pPr>
        <w:tabs>
          <w:tab w:val="clear" w:pos="567"/>
        </w:tabs>
        <w:spacing w:line="240" w:lineRule="auto"/>
        <w:rPr>
          <w:szCs w:val="22"/>
          <w:lang w:val="nl-NL"/>
        </w:rPr>
      </w:pPr>
      <w:r w:rsidRPr="00CD4E37">
        <w:rPr>
          <w:szCs w:val="22"/>
          <w:lang w:val="nl-NL"/>
        </w:rPr>
        <w:t>Er zijn geen gegevens bij de mens over het effect van quizartinib op de vruchtbaarheid. Op basis van bevindingen bij dieren kan de vruchtbaarheid bij de vrouw en de man verminderd zijn tijdens behandeling met VANFLYTA (zie rubriek 5.3).</w:t>
      </w:r>
    </w:p>
    <w:p w14:paraId="430E2D79" w14:textId="77777777" w:rsidR="00285B13" w:rsidRPr="00CD4E37" w:rsidRDefault="00285B13" w:rsidP="00891282">
      <w:pPr>
        <w:tabs>
          <w:tab w:val="clear" w:pos="567"/>
        </w:tabs>
        <w:spacing w:line="240" w:lineRule="auto"/>
        <w:rPr>
          <w:szCs w:val="22"/>
          <w:lang w:val="nl-NL"/>
        </w:rPr>
      </w:pPr>
    </w:p>
    <w:p w14:paraId="11F35FD0" w14:textId="77777777" w:rsidR="00285B13" w:rsidRPr="00CD4E37" w:rsidRDefault="00285B13" w:rsidP="00891282">
      <w:pPr>
        <w:keepNext/>
        <w:spacing w:line="240" w:lineRule="auto"/>
        <w:rPr>
          <w:b/>
          <w:szCs w:val="22"/>
          <w:lang w:val="nl-NL"/>
        </w:rPr>
      </w:pPr>
      <w:r w:rsidRPr="00CD4E37">
        <w:rPr>
          <w:b/>
          <w:bCs/>
          <w:szCs w:val="22"/>
          <w:lang w:val="nl-NL"/>
        </w:rPr>
        <w:t>4.7</w:t>
      </w:r>
      <w:r w:rsidRPr="00CD4E37">
        <w:rPr>
          <w:b/>
          <w:bCs/>
          <w:szCs w:val="22"/>
          <w:lang w:val="nl-NL"/>
        </w:rPr>
        <w:tab/>
      </w:r>
      <w:bookmarkStart w:id="19" w:name="_Hlk121308924"/>
      <w:r w:rsidRPr="00CD4E37">
        <w:rPr>
          <w:b/>
          <w:bCs/>
          <w:szCs w:val="22"/>
          <w:lang w:val="nl-NL"/>
        </w:rPr>
        <w:t>Beïnvloeding van de rijvaardigheid en het vermogen om machines te bedienen</w:t>
      </w:r>
    </w:p>
    <w:p w14:paraId="40AF74C5" w14:textId="77777777" w:rsidR="00285B13" w:rsidRPr="00CD4E37" w:rsidRDefault="00285B13" w:rsidP="00891282">
      <w:pPr>
        <w:keepNext/>
        <w:tabs>
          <w:tab w:val="clear" w:pos="567"/>
        </w:tabs>
        <w:spacing w:line="240" w:lineRule="auto"/>
        <w:rPr>
          <w:szCs w:val="22"/>
          <w:lang w:val="nl-NL"/>
        </w:rPr>
      </w:pPr>
    </w:p>
    <w:p w14:paraId="261F8AFA" w14:textId="77777777" w:rsidR="00285B13" w:rsidRPr="00CD4E37" w:rsidRDefault="00285B13" w:rsidP="00891282">
      <w:pPr>
        <w:tabs>
          <w:tab w:val="clear" w:pos="567"/>
        </w:tabs>
        <w:spacing w:line="240" w:lineRule="auto"/>
        <w:rPr>
          <w:szCs w:val="22"/>
          <w:lang w:val="nl-NL"/>
        </w:rPr>
      </w:pPr>
      <w:r w:rsidRPr="00CD4E37">
        <w:rPr>
          <w:szCs w:val="22"/>
          <w:lang w:val="nl-NL"/>
        </w:rPr>
        <w:t>VANFLYTA heeft geen of een verwaarloosbare invloed op de rijvaardigheid en op het vermogen om machines te bedienen.</w:t>
      </w:r>
    </w:p>
    <w:bookmarkEnd w:id="19"/>
    <w:p w14:paraId="23235165" w14:textId="77777777" w:rsidR="00285B13" w:rsidRPr="00CD4E37" w:rsidRDefault="00285B13" w:rsidP="00891282">
      <w:pPr>
        <w:tabs>
          <w:tab w:val="clear" w:pos="567"/>
        </w:tabs>
        <w:spacing w:line="240" w:lineRule="auto"/>
        <w:rPr>
          <w:szCs w:val="22"/>
          <w:lang w:val="nl-NL"/>
        </w:rPr>
      </w:pPr>
    </w:p>
    <w:p w14:paraId="1CF6487D" w14:textId="77777777" w:rsidR="00285B13" w:rsidRPr="00CD4E37" w:rsidRDefault="00285B13" w:rsidP="00891282">
      <w:pPr>
        <w:keepNext/>
        <w:spacing w:line="240" w:lineRule="auto"/>
        <w:rPr>
          <w:b/>
          <w:szCs w:val="22"/>
          <w:lang w:val="nl-NL"/>
        </w:rPr>
      </w:pPr>
      <w:r w:rsidRPr="00CD4E37">
        <w:rPr>
          <w:b/>
          <w:bCs/>
          <w:szCs w:val="22"/>
          <w:lang w:val="nl-NL"/>
        </w:rPr>
        <w:t>4.8</w:t>
      </w:r>
      <w:r w:rsidRPr="00CD4E37">
        <w:rPr>
          <w:b/>
          <w:bCs/>
          <w:szCs w:val="22"/>
          <w:lang w:val="nl-NL"/>
        </w:rPr>
        <w:tab/>
        <w:t>Bijwerkingen</w:t>
      </w:r>
    </w:p>
    <w:p w14:paraId="2F47B11D" w14:textId="77777777" w:rsidR="00285B13" w:rsidRPr="00CD4E37" w:rsidRDefault="00285B13" w:rsidP="00891282">
      <w:pPr>
        <w:keepNext/>
        <w:tabs>
          <w:tab w:val="clear" w:pos="567"/>
        </w:tabs>
        <w:spacing w:line="240" w:lineRule="auto"/>
        <w:rPr>
          <w:szCs w:val="22"/>
          <w:lang w:val="nl-NL"/>
        </w:rPr>
      </w:pPr>
    </w:p>
    <w:p w14:paraId="6C6266DF"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Samenvatting van het veiligheidsprofiel</w:t>
      </w:r>
    </w:p>
    <w:p w14:paraId="161161D7" w14:textId="77777777" w:rsidR="00285B13" w:rsidRPr="00CD4E37" w:rsidRDefault="00285B13" w:rsidP="00891282">
      <w:pPr>
        <w:keepNext/>
        <w:tabs>
          <w:tab w:val="clear" w:pos="567"/>
        </w:tabs>
        <w:spacing w:line="240" w:lineRule="auto"/>
        <w:rPr>
          <w:szCs w:val="22"/>
          <w:lang w:val="nl-NL"/>
        </w:rPr>
      </w:pPr>
    </w:p>
    <w:p w14:paraId="33E32D14" w14:textId="77777777" w:rsidR="00285B13" w:rsidRPr="00CD4E37" w:rsidRDefault="00285B13" w:rsidP="00891282">
      <w:pPr>
        <w:tabs>
          <w:tab w:val="clear" w:pos="567"/>
        </w:tabs>
        <w:spacing w:line="240" w:lineRule="auto"/>
        <w:rPr>
          <w:szCs w:val="22"/>
          <w:lang w:val="nl-NL"/>
        </w:rPr>
      </w:pPr>
      <w:bookmarkStart w:id="20" w:name="_Hlk101007998"/>
      <w:r w:rsidRPr="00CD4E37">
        <w:rPr>
          <w:szCs w:val="22"/>
          <w:lang w:val="nl-NL"/>
        </w:rPr>
        <w:t>De meest voorkomende bijwerkingen waren verhoogd alanine-aminotransferase (58,9%), verlaagde plaatjestelling (40,0%), verlaagde hemoglobine (37,4%), diarree (37,0%), nausea (34,0%), buikpijn (29,4%), hoofdpijn (27,5%), braken (24,5%) en verlaagde neutrofielentelling (21,9%).</w:t>
      </w:r>
    </w:p>
    <w:bookmarkEnd w:id="20"/>
    <w:p w14:paraId="2D45260B" w14:textId="77777777" w:rsidR="00285B13" w:rsidRPr="00CD4E37" w:rsidRDefault="00285B13" w:rsidP="00891282">
      <w:pPr>
        <w:tabs>
          <w:tab w:val="clear" w:pos="567"/>
        </w:tabs>
        <w:spacing w:line="240" w:lineRule="auto"/>
        <w:rPr>
          <w:szCs w:val="22"/>
          <w:lang w:val="nl-NL"/>
        </w:rPr>
      </w:pPr>
    </w:p>
    <w:p w14:paraId="50D13C4D" w14:textId="77777777" w:rsidR="00285B13" w:rsidRPr="00CD4E37" w:rsidRDefault="00285B13" w:rsidP="00891282">
      <w:pPr>
        <w:tabs>
          <w:tab w:val="clear" w:pos="567"/>
        </w:tabs>
        <w:spacing w:line="240" w:lineRule="auto"/>
        <w:rPr>
          <w:szCs w:val="22"/>
          <w:lang w:val="nl-NL"/>
        </w:rPr>
      </w:pPr>
      <w:r w:rsidRPr="00CD4E37">
        <w:rPr>
          <w:szCs w:val="22"/>
          <w:lang w:val="nl-NL"/>
        </w:rPr>
        <w:t xml:space="preserve">De meest voorkomende bijwerkingen van graad 3 of 4 waren verlaagde plaatjestelling (40%), verlaagde hemoglobine (35,5%), verlaagde neutrofielentelling (21,5%), verhoogd alanine-aminotransferase (12,1%), bacteriëmie (7,2%) en schimmelinfecties (5,7%). De meest voorkomende ernstige bijwerkingen in de VANFLYTA-groep </w:t>
      </w:r>
      <w:bookmarkStart w:id="21" w:name="_Hlk101009079"/>
      <w:r w:rsidRPr="00CD4E37">
        <w:rPr>
          <w:szCs w:val="22"/>
          <w:lang w:val="nl-NL"/>
        </w:rPr>
        <w:t>waren neutropenie (3,0%), schimmelinfecties (2,3%) en herpesinfecties (2,3%). Bijwerkingen met fatale afloop waren schimmelinfecties (0,8%) en hartstilstand (0,4%).</w:t>
      </w:r>
    </w:p>
    <w:bookmarkEnd w:id="21"/>
    <w:p w14:paraId="06033AAE" w14:textId="77777777" w:rsidR="00285B13" w:rsidRPr="00CD4E37" w:rsidRDefault="00285B13" w:rsidP="00891282">
      <w:pPr>
        <w:tabs>
          <w:tab w:val="clear" w:pos="567"/>
        </w:tabs>
        <w:spacing w:line="240" w:lineRule="auto"/>
        <w:rPr>
          <w:szCs w:val="22"/>
          <w:lang w:val="nl-NL"/>
        </w:rPr>
      </w:pPr>
    </w:p>
    <w:p w14:paraId="44EEDD7B" w14:textId="68298FAD" w:rsidR="00285B13" w:rsidRPr="00CD4E37" w:rsidRDefault="00285B13" w:rsidP="00891282">
      <w:pPr>
        <w:tabs>
          <w:tab w:val="clear" w:pos="567"/>
        </w:tabs>
        <w:spacing w:line="240" w:lineRule="auto"/>
        <w:rPr>
          <w:szCs w:val="22"/>
          <w:lang w:val="nl-NL"/>
        </w:rPr>
      </w:pPr>
      <w:bookmarkStart w:id="22" w:name="_Hlk100688492"/>
      <w:r w:rsidRPr="00CD4E37">
        <w:rPr>
          <w:szCs w:val="22"/>
          <w:lang w:val="nl-NL"/>
        </w:rPr>
        <w:t>De meest voorkomende bijwerkingen die gepaard gingen met een onderbreking van de dosis VANFLYTA waren neutropenie (10,6%), trombocytopenie (4,5%) en verlengd QT-interval op elektrocardiogra</w:t>
      </w:r>
      <w:r w:rsidR="008830B0">
        <w:rPr>
          <w:szCs w:val="22"/>
          <w:lang w:val="nl-NL"/>
        </w:rPr>
        <w:t>fie</w:t>
      </w:r>
      <w:r w:rsidRPr="00CD4E37">
        <w:rPr>
          <w:szCs w:val="22"/>
          <w:lang w:val="nl-NL"/>
        </w:rPr>
        <w:t xml:space="preserve"> (2,6%). De meest voorkomende bijwerkingen die gepaard gingen met een dosisverlaging waren neutropenie (9,1%), trombocytopenie (4,5%) en verlengd QT-interval op elektrocardiogra</w:t>
      </w:r>
      <w:r w:rsidR="00916DCD">
        <w:rPr>
          <w:szCs w:val="22"/>
          <w:lang w:val="nl-NL"/>
        </w:rPr>
        <w:t>fie</w:t>
      </w:r>
      <w:r w:rsidRPr="00CD4E37">
        <w:rPr>
          <w:szCs w:val="22"/>
          <w:lang w:val="nl-NL"/>
        </w:rPr>
        <w:t xml:space="preserve"> (3,8%).</w:t>
      </w:r>
    </w:p>
    <w:p w14:paraId="1AB3A156" w14:textId="77777777" w:rsidR="00285B13" w:rsidRPr="00CD4E37" w:rsidRDefault="00285B13" w:rsidP="00891282">
      <w:pPr>
        <w:tabs>
          <w:tab w:val="clear" w:pos="567"/>
        </w:tabs>
        <w:spacing w:line="240" w:lineRule="auto"/>
        <w:rPr>
          <w:szCs w:val="22"/>
          <w:lang w:val="nl-NL"/>
        </w:rPr>
      </w:pPr>
    </w:p>
    <w:p w14:paraId="78411810" w14:textId="77777777" w:rsidR="00285B13" w:rsidRPr="00CD4E37" w:rsidRDefault="00285B13" w:rsidP="00891282">
      <w:pPr>
        <w:tabs>
          <w:tab w:val="clear" w:pos="567"/>
        </w:tabs>
        <w:spacing w:line="240" w:lineRule="auto"/>
        <w:rPr>
          <w:szCs w:val="22"/>
          <w:lang w:val="nl-NL"/>
        </w:rPr>
      </w:pPr>
      <w:bookmarkStart w:id="23" w:name="_Hlk101351964"/>
      <w:r w:rsidRPr="00CD4E37">
        <w:rPr>
          <w:szCs w:val="22"/>
          <w:lang w:val="nl-NL"/>
        </w:rPr>
        <w:t xml:space="preserve">De meest voorkomende bijwerking die gepaard ging met definitief staken van de behandeling met VANFLYTA was trombocytopenie (1,1%). </w:t>
      </w:r>
    </w:p>
    <w:p w14:paraId="74450403" w14:textId="77777777" w:rsidR="00285B13" w:rsidRPr="00CD4E37" w:rsidRDefault="00285B13" w:rsidP="00891282">
      <w:pPr>
        <w:tabs>
          <w:tab w:val="clear" w:pos="567"/>
        </w:tabs>
        <w:spacing w:line="240" w:lineRule="auto"/>
        <w:rPr>
          <w:szCs w:val="22"/>
          <w:lang w:val="nl-NL"/>
        </w:rPr>
      </w:pPr>
      <w:bookmarkStart w:id="24" w:name="_Hlk101009533"/>
      <w:bookmarkEnd w:id="23"/>
    </w:p>
    <w:bookmarkEnd w:id="22"/>
    <w:bookmarkEnd w:id="24"/>
    <w:p w14:paraId="16B7DE01"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Lijst van bijwerkingen in tabelvorm</w:t>
      </w:r>
    </w:p>
    <w:p w14:paraId="26CC8A08" w14:textId="77777777" w:rsidR="00285B13" w:rsidRPr="00CD4E37" w:rsidRDefault="00285B13" w:rsidP="00891282">
      <w:pPr>
        <w:keepNext/>
        <w:tabs>
          <w:tab w:val="clear" w:pos="567"/>
        </w:tabs>
        <w:spacing w:line="240" w:lineRule="auto"/>
        <w:rPr>
          <w:szCs w:val="22"/>
          <w:lang w:val="nl-NL"/>
        </w:rPr>
      </w:pPr>
    </w:p>
    <w:p w14:paraId="0FD81B31" w14:textId="77777777" w:rsidR="00285B13" w:rsidRPr="00CD4E37" w:rsidRDefault="00285B13" w:rsidP="00891282">
      <w:pPr>
        <w:tabs>
          <w:tab w:val="clear" w:pos="567"/>
        </w:tabs>
        <w:spacing w:line="240" w:lineRule="auto"/>
        <w:rPr>
          <w:szCs w:val="22"/>
          <w:lang w:val="nl-NL"/>
        </w:rPr>
      </w:pPr>
      <w:r w:rsidRPr="00CD4E37">
        <w:rPr>
          <w:szCs w:val="22"/>
          <w:lang w:val="nl-NL"/>
        </w:rPr>
        <w:t>De veiligheid van VANFLYTA is onderzocht in QuANTUM-First, een gerandomiseerd, dubbelblind, placebogecontroleerd onderzoek bij volwassen patiënten met nieuw gediagnosticeerde FLT3-ITD-positieve AML.</w:t>
      </w:r>
    </w:p>
    <w:p w14:paraId="7097E8CF" w14:textId="77777777" w:rsidR="00285B13" w:rsidRPr="00CD4E37" w:rsidRDefault="00285B13" w:rsidP="00891282">
      <w:pPr>
        <w:tabs>
          <w:tab w:val="clear" w:pos="567"/>
        </w:tabs>
        <w:spacing w:line="240" w:lineRule="auto"/>
        <w:rPr>
          <w:szCs w:val="22"/>
          <w:lang w:val="nl-NL"/>
        </w:rPr>
      </w:pPr>
    </w:p>
    <w:p w14:paraId="0ECB4E61" w14:textId="77777777" w:rsidR="00285B13" w:rsidRPr="00CD4E37" w:rsidRDefault="00285B13" w:rsidP="00891282">
      <w:pPr>
        <w:tabs>
          <w:tab w:val="clear" w:pos="567"/>
        </w:tabs>
        <w:spacing w:line="240" w:lineRule="auto"/>
        <w:rPr>
          <w:szCs w:val="22"/>
          <w:lang w:val="nl-NL"/>
        </w:rPr>
      </w:pPr>
      <w:r w:rsidRPr="00CD4E37">
        <w:rPr>
          <w:szCs w:val="22"/>
          <w:lang w:val="nl-NL"/>
        </w:rPr>
        <w:t>Bijwerkingen worden vermeld per systeem/orgaanklasse (SOC) volgens MedDRA. Binnen elke SOC zijn de bijwerkingen gerangschikt naar frequentie, waarbij de meest frequente bijwerkingen eerst worden vermeld en waarbij de volgende afspraak wordt gehanteerd: zeer vaak (≥ 1/10), vaak (≥ 1/100, &lt; 1/10), soms (≥ 1/1.000, &lt; 1/100), zelden (≥ 1/10.000, &lt; 1/1.000), zeer zelden (&lt; 1/10.000), niet bekend (kan met de beschikbare gegevens niet worden bepaald). Binnen iedere frequentiecategorie worden bijwerkingen gerangschikt naar afnemende ernst.</w:t>
      </w:r>
    </w:p>
    <w:p w14:paraId="288A9869" w14:textId="77777777" w:rsidR="00285B13" w:rsidRPr="00CD4E37" w:rsidRDefault="00285B13" w:rsidP="00891282">
      <w:pPr>
        <w:tabs>
          <w:tab w:val="clear" w:pos="567"/>
        </w:tabs>
        <w:spacing w:line="240" w:lineRule="auto"/>
        <w:rPr>
          <w:szCs w:val="22"/>
          <w:lang w:val="nl-NL"/>
        </w:rPr>
      </w:pPr>
    </w:p>
    <w:p w14:paraId="6805BE52" w14:textId="77777777" w:rsidR="00285B13" w:rsidRPr="00CD4E37" w:rsidRDefault="00285B13" w:rsidP="00891282">
      <w:pPr>
        <w:keepNext/>
        <w:tabs>
          <w:tab w:val="clear" w:pos="567"/>
        </w:tabs>
        <w:spacing w:line="240" w:lineRule="auto"/>
        <w:rPr>
          <w:b/>
          <w:szCs w:val="22"/>
          <w:lang w:val="nl-NL"/>
        </w:rPr>
      </w:pPr>
      <w:r w:rsidRPr="00CD4E37">
        <w:rPr>
          <w:b/>
          <w:bCs/>
          <w:szCs w:val="22"/>
          <w:lang w:val="nl-NL"/>
        </w:rPr>
        <w:t>Tabel 4: Bijwerkingen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1814"/>
        <w:gridCol w:w="1814"/>
        <w:gridCol w:w="1844"/>
      </w:tblGrid>
      <w:tr w:rsidR="00285B13" w:rsidRPr="00CD4E37" w14:paraId="7C425429" w14:textId="77777777" w:rsidTr="00387A3F">
        <w:trPr>
          <w:cantSplit/>
          <w:trHeight w:val="769"/>
        </w:trPr>
        <w:tc>
          <w:tcPr>
            <w:tcW w:w="3595" w:type="dxa"/>
            <w:shd w:val="clear" w:color="auto" w:fill="auto"/>
            <w:vAlign w:val="center"/>
          </w:tcPr>
          <w:p w14:paraId="3F634940" w14:textId="77777777" w:rsidR="00285B13" w:rsidRPr="00CD4E37" w:rsidRDefault="00285B13" w:rsidP="00387A3F">
            <w:pPr>
              <w:keepNext/>
              <w:keepLines/>
              <w:spacing w:line="240" w:lineRule="auto"/>
              <w:jc w:val="center"/>
              <w:rPr>
                <w:b/>
                <w:szCs w:val="22"/>
                <w:lang w:val="nl-NL"/>
              </w:rPr>
            </w:pPr>
            <w:bookmarkStart w:id="25" w:name="_Hlk120028129"/>
            <w:r w:rsidRPr="00CD4E37">
              <w:rPr>
                <w:b/>
                <w:bCs/>
                <w:szCs w:val="22"/>
                <w:lang w:val="nl-NL"/>
              </w:rPr>
              <w:t>Bijwerking</w:t>
            </w:r>
          </w:p>
        </w:tc>
        <w:tc>
          <w:tcPr>
            <w:tcW w:w="1814" w:type="dxa"/>
            <w:shd w:val="clear" w:color="auto" w:fill="auto"/>
            <w:vAlign w:val="center"/>
          </w:tcPr>
          <w:p w14:paraId="5EFDE095" w14:textId="77777777" w:rsidR="00285B13" w:rsidRPr="00CD4E37" w:rsidRDefault="00285B13" w:rsidP="00387A3F">
            <w:pPr>
              <w:keepNext/>
              <w:keepLines/>
              <w:tabs>
                <w:tab w:val="clear" w:pos="567"/>
              </w:tabs>
              <w:spacing w:line="240" w:lineRule="auto"/>
              <w:contextualSpacing/>
              <w:jc w:val="center"/>
              <w:rPr>
                <w:b/>
                <w:szCs w:val="22"/>
                <w:lang w:val="nl-NL"/>
              </w:rPr>
            </w:pPr>
            <w:r w:rsidRPr="00CD4E37">
              <w:rPr>
                <w:b/>
                <w:bCs/>
                <w:szCs w:val="22"/>
                <w:lang w:val="nl-NL"/>
              </w:rPr>
              <w:t>Alle graden</w:t>
            </w:r>
          </w:p>
          <w:p w14:paraId="4C9DA725" w14:textId="77777777" w:rsidR="00285B13" w:rsidRPr="00CD4E37" w:rsidRDefault="00285B13" w:rsidP="00387A3F">
            <w:pPr>
              <w:keepNext/>
              <w:keepLines/>
              <w:spacing w:line="240" w:lineRule="auto"/>
              <w:contextualSpacing/>
              <w:jc w:val="center"/>
              <w:rPr>
                <w:b/>
                <w:szCs w:val="22"/>
                <w:lang w:val="nl-NL"/>
              </w:rPr>
            </w:pPr>
            <w:r w:rsidRPr="00CD4E37">
              <w:rPr>
                <w:b/>
                <w:bCs/>
                <w:szCs w:val="22"/>
                <w:lang w:val="nl-NL"/>
              </w:rPr>
              <w:t>%</w:t>
            </w:r>
          </w:p>
        </w:tc>
        <w:tc>
          <w:tcPr>
            <w:tcW w:w="1814" w:type="dxa"/>
            <w:shd w:val="clear" w:color="auto" w:fill="auto"/>
            <w:vAlign w:val="center"/>
          </w:tcPr>
          <w:p w14:paraId="57220950" w14:textId="77777777" w:rsidR="00285B13" w:rsidRPr="00CD4E37" w:rsidRDefault="00285B13" w:rsidP="00387A3F">
            <w:pPr>
              <w:keepNext/>
              <w:keepLines/>
              <w:tabs>
                <w:tab w:val="clear" w:pos="567"/>
              </w:tabs>
              <w:spacing w:line="240" w:lineRule="auto"/>
              <w:contextualSpacing/>
              <w:jc w:val="center"/>
              <w:rPr>
                <w:b/>
                <w:szCs w:val="22"/>
                <w:lang w:val="nl-NL"/>
              </w:rPr>
            </w:pPr>
            <w:r w:rsidRPr="00CD4E37">
              <w:rPr>
                <w:b/>
                <w:bCs/>
                <w:szCs w:val="22"/>
                <w:lang w:val="nl-NL"/>
              </w:rPr>
              <w:t>Graad 3 of</w:t>
            </w:r>
            <w:r w:rsidRPr="00CD4E37">
              <w:rPr>
                <w:szCs w:val="22"/>
                <w:lang w:val="nl-NL"/>
              </w:rPr>
              <w:t> </w:t>
            </w:r>
            <w:r w:rsidRPr="00CD4E37">
              <w:rPr>
                <w:b/>
                <w:bCs/>
                <w:szCs w:val="22"/>
                <w:lang w:val="nl-NL"/>
              </w:rPr>
              <w:t>4</w:t>
            </w:r>
          </w:p>
          <w:p w14:paraId="4FCC17DB" w14:textId="77777777" w:rsidR="00285B13" w:rsidRPr="00CD4E37" w:rsidRDefault="00285B13" w:rsidP="00387A3F">
            <w:pPr>
              <w:keepNext/>
              <w:keepLines/>
              <w:spacing w:line="240" w:lineRule="auto"/>
              <w:contextualSpacing/>
              <w:jc w:val="center"/>
              <w:rPr>
                <w:b/>
                <w:szCs w:val="22"/>
                <w:lang w:val="nl-NL"/>
              </w:rPr>
            </w:pPr>
            <w:r w:rsidRPr="00CD4E37">
              <w:rPr>
                <w:b/>
                <w:bCs/>
                <w:szCs w:val="22"/>
                <w:lang w:val="nl-NL"/>
              </w:rPr>
              <w:t>%</w:t>
            </w:r>
          </w:p>
        </w:tc>
        <w:tc>
          <w:tcPr>
            <w:tcW w:w="1844" w:type="dxa"/>
            <w:shd w:val="clear" w:color="auto" w:fill="auto"/>
            <w:vAlign w:val="center"/>
          </w:tcPr>
          <w:p w14:paraId="63BC0592" w14:textId="77777777" w:rsidR="00285B13" w:rsidRPr="00CD4E37" w:rsidRDefault="00285B13" w:rsidP="00387A3F">
            <w:pPr>
              <w:keepNext/>
              <w:keepLines/>
              <w:spacing w:line="240" w:lineRule="auto"/>
              <w:jc w:val="center"/>
              <w:rPr>
                <w:b/>
                <w:szCs w:val="22"/>
                <w:lang w:val="nl-NL"/>
              </w:rPr>
            </w:pPr>
            <w:r w:rsidRPr="00CD4E37">
              <w:rPr>
                <w:b/>
                <w:bCs/>
                <w:szCs w:val="22"/>
                <w:lang w:val="nl-NL"/>
              </w:rPr>
              <w:t>Frequentiecategorie</w:t>
            </w:r>
          </w:p>
          <w:p w14:paraId="3F2EAA26" w14:textId="77777777" w:rsidR="00285B13" w:rsidRPr="00CD4E37" w:rsidRDefault="00285B13" w:rsidP="00387A3F">
            <w:pPr>
              <w:keepNext/>
              <w:keepLines/>
              <w:spacing w:line="240" w:lineRule="auto"/>
              <w:jc w:val="center"/>
              <w:rPr>
                <w:b/>
                <w:szCs w:val="22"/>
                <w:lang w:val="nl-NL"/>
              </w:rPr>
            </w:pPr>
            <w:r w:rsidRPr="00CD4E37">
              <w:rPr>
                <w:b/>
                <w:bCs/>
                <w:szCs w:val="22"/>
                <w:lang w:val="nl-NL"/>
              </w:rPr>
              <w:t>(alle graden)</w:t>
            </w:r>
          </w:p>
        </w:tc>
      </w:tr>
      <w:tr w:rsidR="00285B13" w:rsidRPr="00CD4E37" w14:paraId="7A3F50FC" w14:textId="77777777" w:rsidTr="00387A3F">
        <w:trPr>
          <w:cantSplit/>
        </w:trPr>
        <w:tc>
          <w:tcPr>
            <w:tcW w:w="9067" w:type="dxa"/>
            <w:gridSpan w:val="4"/>
            <w:tcBorders>
              <w:bottom w:val="single" w:sz="4" w:space="0" w:color="auto"/>
            </w:tcBorders>
          </w:tcPr>
          <w:p w14:paraId="17A3995D" w14:textId="77777777" w:rsidR="00285B13" w:rsidRPr="00CD4E37" w:rsidRDefault="00285B13" w:rsidP="00387A3F">
            <w:pPr>
              <w:keepNext/>
              <w:keepLines/>
              <w:spacing w:line="240" w:lineRule="auto"/>
              <w:rPr>
                <w:szCs w:val="22"/>
                <w:lang w:val="nl-NL"/>
              </w:rPr>
            </w:pPr>
            <w:r w:rsidRPr="00CD4E37">
              <w:rPr>
                <w:b/>
                <w:bCs/>
                <w:szCs w:val="22"/>
                <w:lang w:val="nl-NL"/>
              </w:rPr>
              <w:t>Infecties en parasitaire aandoeningen</w:t>
            </w:r>
          </w:p>
        </w:tc>
      </w:tr>
      <w:tr w:rsidR="00285B13" w:rsidRPr="00CD4E37" w14:paraId="0B963DE7" w14:textId="77777777" w:rsidTr="001C6ECA">
        <w:trPr>
          <w:cantSplit/>
        </w:trPr>
        <w:tc>
          <w:tcPr>
            <w:tcW w:w="3595" w:type="dxa"/>
            <w:tcBorders>
              <w:bottom w:val="single" w:sz="4" w:space="0" w:color="auto"/>
            </w:tcBorders>
            <w:shd w:val="clear" w:color="auto" w:fill="auto"/>
            <w:vAlign w:val="center"/>
          </w:tcPr>
          <w:p w14:paraId="6A12C955" w14:textId="14AE056E" w:rsidR="00285B13" w:rsidRPr="00CD4E37" w:rsidRDefault="00285B13" w:rsidP="00387A3F">
            <w:pPr>
              <w:rPr>
                <w:lang w:val="nl-NL"/>
              </w:rPr>
            </w:pPr>
            <w:r w:rsidRPr="00CD4E37">
              <w:rPr>
                <w:szCs w:val="22"/>
                <w:lang w:val="nl-NL"/>
              </w:rPr>
              <w:t>Infecties van de bovenste luchtwegen</w:t>
            </w:r>
            <w:r w:rsidRPr="00CD4E37">
              <w:rPr>
                <w:szCs w:val="22"/>
                <w:vertAlign w:val="superscript"/>
                <w:lang w:val="nl-NL"/>
              </w:rPr>
              <w:t>a</w:t>
            </w:r>
          </w:p>
        </w:tc>
        <w:tc>
          <w:tcPr>
            <w:tcW w:w="1814" w:type="dxa"/>
            <w:tcBorders>
              <w:bottom w:val="single" w:sz="4" w:space="0" w:color="auto"/>
            </w:tcBorders>
            <w:shd w:val="clear" w:color="auto" w:fill="auto"/>
          </w:tcPr>
          <w:p w14:paraId="6DC2B065" w14:textId="77777777" w:rsidR="00285B13" w:rsidRPr="00CD4E37" w:rsidRDefault="00285B13" w:rsidP="00387A3F">
            <w:pPr>
              <w:autoSpaceDE w:val="0"/>
              <w:autoSpaceDN w:val="0"/>
              <w:adjustRightInd w:val="0"/>
              <w:jc w:val="center"/>
              <w:rPr>
                <w:lang w:val="nl-NL"/>
              </w:rPr>
            </w:pPr>
            <w:r w:rsidRPr="00CD4E37">
              <w:rPr>
                <w:szCs w:val="22"/>
                <w:lang w:val="nl-NL"/>
              </w:rPr>
              <w:t>18,1</w:t>
            </w:r>
          </w:p>
        </w:tc>
        <w:tc>
          <w:tcPr>
            <w:tcW w:w="1814" w:type="dxa"/>
            <w:tcBorders>
              <w:bottom w:val="single" w:sz="4" w:space="0" w:color="auto"/>
            </w:tcBorders>
            <w:shd w:val="clear" w:color="auto" w:fill="auto"/>
          </w:tcPr>
          <w:p w14:paraId="60F60FD2" w14:textId="77777777" w:rsidR="00285B13" w:rsidRPr="00CD4E37" w:rsidRDefault="00285B13" w:rsidP="00387A3F">
            <w:pPr>
              <w:autoSpaceDE w:val="0"/>
              <w:autoSpaceDN w:val="0"/>
              <w:adjustRightInd w:val="0"/>
              <w:jc w:val="center"/>
              <w:rPr>
                <w:lang w:val="nl-NL"/>
              </w:rPr>
            </w:pPr>
            <w:r w:rsidRPr="00CD4E37">
              <w:rPr>
                <w:szCs w:val="22"/>
                <w:lang w:val="nl-NL"/>
              </w:rPr>
              <w:t>1,9</w:t>
            </w:r>
          </w:p>
        </w:tc>
        <w:tc>
          <w:tcPr>
            <w:tcW w:w="1844" w:type="dxa"/>
            <w:tcBorders>
              <w:bottom w:val="single" w:sz="4" w:space="0" w:color="auto"/>
            </w:tcBorders>
            <w:shd w:val="clear" w:color="auto" w:fill="auto"/>
          </w:tcPr>
          <w:p w14:paraId="5AC9D250" w14:textId="77777777" w:rsidR="00285B13" w:rsidRPr="00CD4E37" w:rsidRDefault="00285B13" w:rsidP="00387A3F">
            <w:pPr>
              <w:autoSpaceDE w:val="0"/>
              <w:autoSpaceDN w:val="0"/>
              <w:adjustRightInd w:val="0"/>
              <w:spacing w:line="240" w:lineRule="auto"/>
              <w:jc w:val="center"/>
              <w:rPr>
                <w:szCs w:val="22"/>
                <w:lang w:val="nl-NL"/>
              </w:rPr>
            </w:pPr>
            <w:r w:rsidRPr="00CD4E37">
              <w:rPr>
                <w:szCs w:val="22"/>
                <w:lang w:val="nl-NL"/>
              </w:rPr>
              <w:t>Zeer vaak</w:t>
            </w:r>
          </w:p>
        </w:tc>
      </w:tr>
      <w:tr w:rsidR="00285B13" w:rsidRPr="00CD4E37" w14:paraId="4E1B33A7" w14:textId="77777777" w:rsidTr="001C6ECA">
        <w:trPr>
          <w:cantSplit/>
        </w:trPr>
        <w:tc>
          <w:tcPr>
            <w:tcW w:w="3595" w:type="dxa"/>
            <w:tcBorders>
              <w:top w:val="single" w:sz="4" w:space="0" w:color="auto"/>
              <w:bottom w:val="single" w:sz="4" w:space="0" w:color="auto"/>
            </w:tcBorders>
            <w:shd w:val="clear" w:color="auto" w:fill="auto"/>
            <w:vAlign w:val="center"/>
          </w:tcPr>
          <w:p w14:paraId="1DD17D8B" w14:textId="77777777" w:rsidR="00285B13" w:rsidRPr="00CD4E37" w:rsidRDefault="00285B13" w:rsidP="00387A3F">
            <w:pPr>
              <w:rPr>
                <w:szCs w:val="22"/>
                <w:lang w:val="nl-NL"/>
              </w:rPr>
            </w:pPr>
            <w:r w:rsidRPr="00CD4E37">
              <w:rPr>
                <w:szCs w:val="22"/>
                <w:lang w:val="nl-NL"/>
              </w:rPr>
              <w:t>Schimmelinfecties</w:t>
            </w:r>
            <w:r w:rsidRPr="00CD4E37">
              <w:rPr>
                <w:szCs w:val="22"/>
                <w:vertAlign w:val="superscript"/>
                <w:lang w:val="nl-NL"/>
              </w:rPr>
              <w:t>b</w:t>
            </w:r>
          </w:p>
        </w:tc>
        <w:tc>
          <w:tcPr>
            <w:tcW w:w="1814" w:type="dxa"/>
            <w:tcBorders>
              <w:top w:val="single" w:sz="4" w:space="0" w:color="auto"/>
              <w:bottom w:val="single" w:sz="4" w:space="0" w:color="auto"/>
            </w:tcBorders>
            <w:shd w:val="clear" w:color="auto" w:fill="auto"/>
          </w:tcPr>
          <w:p w14:paraId="08CA00EF" w14:textId="77777777" w:rsidR="00285B13" w:rsidRPr="00CD4E37" w:rsidRDefault="00285B13" w:rsidP="00387A3F">
            <w:pPr>
              <w:autoSpaceDE w:val="0"/>
              <w:autoSpaceDN w:val="0"/>
              <w:adjustRightInd w:val="0"/>
              <w:jc w:val="center"/>
              <w:rPr>
                <w:szCs w:val="22"/>
                <w:lang w:val="nl-NL"/>
              </w:rPr>
            </w:pPr>
            <w:r w:rsidRPr="00CD4E37">
              <w:rPr>
                <w:szCs w:val="22"/>
                <w:lang w:val="nl-NL"/>
              </w:rPr>
              <w:t>15,1</w:t>
            </w:r>
          </w:p>
        </w:tc>
        <w:tc>
          <w:tcPr>
            <w:tcW w:w="1814" w:type="dxa"/>
            <w:tcBorders>
              <w:top w:val="single" w:sz="4" w:space="0" w:color="auto"/>
              <w:bottom w:val="single" w:sz="4" w:space="0" w:color="auto"/>
            </w:tcBorders>
            <w:shd w:val="clear" w:color="auto" w:fill="auto"/>
          </w:tcPr>
          <w:p w14:paraId="48929695" w14:textId="77777777" w:rsidR="00285B13" w:rsidRPr="00CD4E37" w:rsidRDefault="00285B13" w:rsidP="00387A3F">
            <w:pPr>
              <w:autoSpaceDE w:val="0"/>
              <w:autoSpaceDN w:val="0"/>
              <w:adjustRightInd w:val="0"/>
              <w:jc w:val="center"/>
              <w:rPr>
                <w:szCs w:val="22"/>
                <w:lang w:val="nl-NL"/>
              </w:rPr>
            </w:pPr>
            <w:r w:rsidRPr="00CD4E37">
              <w:rPr>
                <w:szCs w:val="22"/>
                <w:lang w:val="nl-NL"/>
              </w:rPr>
              <w:t>5,7</w:t>
            </w:r>
          </w:p>
        </w:tc>
        <w:tc>
          <w:tcPr>
            <w:tcW w:w="1844" w:type="dxa"/>
            <w:tcBorders>
              <w:top w:val="single" w:sz="4" w:space="0" w:color="auto"/>
              <w:bottom w:val="single" w:sz="4" w:space="0" w:color="auto"/>
            </w:tcBorders>
            <w:shd w:val="clear" w:color="auto" w:fill="auto"/>
          </w:tcPr>
          <w:p w14:paraId="3AA7B017" w14:textId="77777777" w:rsidR="00285B13" w:rsidRPr="00CD4E37" w:rsidRDefault="00285B13" w:rsidP="00387A3F">
            <w:pPr>
              <w:autoSpaceDE w:val="0"/>
              <w:autoSpaceDN w:val="0"/>
              <w:adjustRightInd w:val="0"/>
              <w:spacing w:line="240" w:lineRule="auto"/>
              <w:jc w:val="center"/>
              <w:rPr>
                <w:szCs w:val="22"/>
                <w:lang w:val="nl-NL"/>
              </w:rPr>
            </w:pPr>
            <w:r w:rsidRPr="00CD4E37">
              <w:rPr>
                <w:szCs w:val="22"/>
                <w:lang w:val="nl-NL"/>
              </w:rPr>
              <w:t>Zeer vaak</w:t>
            </w:r>
          </w:p>
        </w:tc>
      </w:tr>
      <w:tr w:rsidR="00285B13" w:rsidRPr="00CD4E37" w14:paraId="0B399BF7" w14:textId="77777777" w:rsidTr="001C6ECA">
        <w:trPr>
          <w:cantSplit/>
        </w:trPr>
        <w:tc>
          <w:tcPr>
            <w:tcW w:w="3595" w:type="dxa"/>
            <w:tcBorders>
              <w:top w:val="single" w:sz="4" w:space="0" w:color="auto"/>
              <w:bottom w:val="single" w:sz="4" w:space="0" w:color="auto"/>
            </w:tcBorders>
            <w:shd w:val="clear" w:color="auto" w:fill="auto"/>
            <w:vAlign w:val="center"/>
          </w:tcPr>
          <w:p w14:paraId="04996A95" w14:textId="77777777" w:rsidR="00285B13" w:rsidRPr="00CD4E37" w:rsidRDefault="00285B13" w:rsidP="00387A3F">
            <w:pPr>
              <w:spacing w:line="240" w:lineRule="auto"/>
              <w:rPr>
                <w:szCs w:val="22"/>
                <w:vertAlign w:val="superscript"/>
                <w:lang w:val="nl-NL"/>
              </w:rPr>
            </w:pPr>
            <w:r w:rsidRPr="00CD4E37">
              <w:rPr>
                <w:szCs w:val="22"/>
                <w:lang w:val="nl-NL"/>
              </w:rPr>
              <w:t>Herpesinfecties</w:t>
            </w:r>
            <w:r w:rsidRPr="00CD4E37">
              <w:rPr>
                <w:szCs w:val="22"/>
                <w:vertAlign w:val="superscript"/>
                <w:lang w:val="nl-NL"/>
              </w:rPr>
              <w:t>c</w:t>
            </w:r>
          </w:p>
        </w:tc>
        <w:tc>
          <w:tcPr>
            <w:tcW w:w="1814" w:type="dxa"/>
            <w:tcBorders>
              <w:top w:val="single" w:sz="4" w:space="0" w:color="auto"/>
              <w:bottom w:val="single" w:sz="4" w:space="0" w:color="auto"/>
            </w:tcBorders>
            <w:shd w:val="clear" w:color="auto" w:fill="auto"/>
          </w:tcPr>
          <w:p w14:paraId="0C9A9299" w14:textId="77777777" w:rsidR="00285B13" w:rsidRPr="00CD4E37" w:rsidRDefault="00285B13" w:rsidP="00387A3F">
            <w:pPr>
              <w:autoSpaceDE w:val="0"/>
              <w:autoSpaceDN w:val="0"/>
              <w:adjustRightInd w:val="0"/>
              <w:spacing w:line="240" w:lineRule="auto"/>
              <w:jc w:val="center"/>
              <w:rPr>
                <w:szCs w:val="22"/>
                <w:lang w:val="nl-NL"/>
              </w:rPr>
            </w:pPr>
            <w:r w:rsidRPr="00CD4E37">
              <w:rPr>
                <w:szCs w:val="22"/>
                <w:lang w:val="nl-NL"/>
              </w:rPr>
              <w:t>14,0</w:t>
            </w:r>
          </w:p>
        </w:tc>
        <w:tc>
          <w:tcPr>
            <w:tcW w:w="1814" w:type="dxa"/>
            <w:tcBorders>
              <w:top w:val="single" w:sz="4" w:space="0" w:color="auto"/>
              <w:bottom w:val="single" w:sz="4" w:space="0" w:color="auto"/>
            </w:tcBorders>
            <w:shd w:val="clear" w:color="auto" w:fill="auto"/>
          </w:tcPr>
          <w:p w14:paraId="20F6C177" w14:textId="77777777" w:rsidR="00285B13" w:rsidRPr="00CD4E37" w:rsidRDefault="00285B13" w:rsidP="00387A3F">
            <w:pPr>
              <w:autoSpaceDE w:val="0"/>
              <w:autoSpaceDN w:val="0"/>
              <w:adjustRightInd w:val="0"/>
              <w:spacing w:line="240" w:lineRule="auto"/>
              <w:jc w:val="center"/>
              <w:rPr>
                <w:szCs w:val="22"/>
                <w:lang w:val="nl-NL"/>
              </w:rPr>
            </w:pPr>
            <w:r w:rsidRPr="00CD4E37">
              <w:rPr>
                <w:szCs w:val="22"/>
                <w:lang w:val="nl-NL"/>
              </w:rPr>
              <w:t>3,0</w:t>
            </w:r>
          </w:p>
        </w:tc>
        <w:tc>
          <w:tcPr>
            <w:tcW w:w="1844" w:type="dxa"/>
            <w:tcBorders>
              <w:top w:val="single" w:sz="4" w:space="0" w:color="auto"/>
              <w:bottom w:val="single" w:sz="4" w:space="0" w:color="auto"/>
            </w:tcBorders>
            <w:shd w:val="clear" w:color="auto" w:fill="auto"/>
          </w:tcPr>
          <w:p w14:paraId="3568A974" w14:textId="77777777" w:rsidR="00285B13" w:rsidRPr="00CD4E37" w:rsidRDefault="00285B13" w:rsidP="00387A3F">
            <w:pPr>
              <w:autoSpaceDE w:val="0"/>
              <w:autoSpaceDN w:val="0"/>
              <w:adjustRightInd w:val="0"/>
              <w:spacing w:line="240" w:lineRule="auto"/>
              <w:jc w:val="center"/>
              <w:rPr>
                <w:szCs w:val="22"/>
                <w:lang w:val="nl-NL"/>
              </w:rPr>
            </w:pPr>
            <w:r w:rsidRPr="00CD4E37">
              <w:rPr>
                <w:szCs w:val="22"/>
                <w:lang w:val="nl-NL"/>
              </w:rPr>
              <w:t>Zeer vaak</w:t>
            </w:r>
          </w:p>
        </w:tc>
      </w:tr>
      <w:tr w:rsidR="00285B13" w:rsidRPr="00CD4E37" w14:paraId="46C4CEA5" w14:textId="77777777" w:rsidTr="001C6ECA">
        <w:trPr>
          <w:cantSplit/>
        </w:trPr>
        <w:tc>
          <w:tcPr>
            <w:tcW w:w="3595" w:type="dxa"/>
            <w:tcBorders>
              <w:top w:val="single" w:sz="4" w:space="0" w:color="auto"/>
            </w:tcBorders>
            <w:shd w:val="clear" w:color="auto" w:fill="auto"/>
            <w:vAlign w:val="center"/>
          </w:tcPr>
          <w:p w14:paraId="3C20F785" w14:textId="77777777" w:rsidR="00285B13" w:rsidRPr="00CD4E37" w:rsidRDefault="00285B13" w:rsidP="00387A3F">
            <w:pPr>
              <w:rPr>
                <w:szCs w:val="22"/>
                <w:lang w:val="nl-NL"/>
              </w:rPr>
            </w:pPr>
            <w:r w:rsidRPr="00CD4E37">
              <w:rPr>
                <w:szCs w:val="22"/>
                <w:lang w:val="nl-NL"/>
              </w:rPr>
              <w:t>Bacteriëmie</w:t>
            </w:r>
            <w:r w:rsidRPr="00CD4E37">
              <w:rPr>
                <w:szCs w:val="22"/>
                <w:vertAlign w:val="superscript"/>
                <w:lang w:val="nl-NL"/>
              </w:rPr>
              <w:t>d</w:t>
            </w:r>
          </w:p>
        </w:tc>
        <w:tc>
          <w:tcPr>
            <w:tcW w:w="1814" w:type="dxa"/>
            <w:tcBorders>
              <w:top w:val="single" w:sz="4" w:space="0" w:color="auto"/>
            </w:tcBorders>
            <w:shd w:val="clear" w:color="auto" w:fill="auto"/>
          </w:tcPr>
          <w:p w14:paraId="57C48A46" w14:textId="77777777" w:rsidR="00285B13" w:rsidRPr="00CD4E37" w:rsidRDefault="00285B13" w:rsidP="00387A3F">
            <w:pPr>
              <w:autoSpaceDE w:val="0"/>
              <w:autoSpaceDN w:val="0"/>
              <w:adjustRightInd w:val="0"/>
              <w:jc w:val="center"/>
              <w:rPr>
                <w:szCs w:val="22"/>
                <w:lang w:val="nl-NL"/>
              </w:rPr>
            </w:pPr>
            <w:r w:rsidRPr="00CD4E37">
              <w:rPr>
                <w:szCs w:val="22"/>
                <w:lang w:val="nl-NL"/>
              </w:rPr>
              <w:t>11,3</w:t>
            </w:r>
          </w:p>
        </w:tc>
        <w:tc>
          <w:tcPr>
            <w:tcW w:w="1814" w:type="dxa"/>
            <w:tcBorders>
              <w:top w:val="single" w:sz="4" w:space="0" w:color="auto"/>
            </w:tcBorders>
            <w:shd w:val="clear" w:color="auto" w:fill="auto"/>
          </w:tcPr>
          <w:p w14:paraId="29F97AEB" w14:textId="77777777" w:rsidR="00285B13" w:rsidRPr="00CD4E37" w:rsidRDefault="00285B13" w:rsidP="00387A3F">
            <w:pPr>
              <w:autoSpaceDE w:val="0"/>
              <w:autoSpaceDN w:val="0"/>
              <w:adjustRightInd w:val="0"/>
              <w:jc w:val="center"/>
              <w:rPr>
                <w:szCs w:val="22"/>
                <w:lang w:val="nl-NL"/>
              </w:rPr>
            </w:pPr>
            <w:r w:rsidRPr="00CD4E37">
              <w:rPr>
                <w:szCs w:val="22"/>
                <w:lang w:val="nl-NL"/>
              </w:rPr>
              <w:t>7,2</w:t>
            </w:r>
          </w:p>
        </w:tc>
        <w:tc>
          <w:tcPr>
            <w:tcW w:w="1844" w:type="dxa"/>
            <w:tcBorders>
              <w:top w:val="single" w:sz="4" w:space="0" w:color="auto"/>
            </w:tcBorders>
            <w:shd w:val="clear" w:color="auto" w:fill="auto"/>
          </w:tcPr>
          <w:p w14:paraId="62ED5AE4" w14:textId="77777777" w:rsidR="00285B13" w:rsidRPr="00CD4E37" w:rsidRDefault="00285B13" w:rsidP="00387A3F">
            <w:pPr>
              <w:autoSpaceDE w:val="0"/>
              <w:autoSpaceDN w:val="0"/>
              <w:adjustRightInd w:val="0"/>
              <w:spacing w:line="240" w:lineRule="auto"/>
              <w:jc w:val="center"/>
              <w:rPr>
                <w:szCs w:val="22"/>
                <w:lang w:val="nl-NL"/>
              </w:rPr>
            </w:pPr>
            <w:r w:rsidRPr="00CD4E37">
              <w:rPr>
                <w:szCs w:val="22"/>
                <w:lang w:val="nl-NL"/>
              </w:rPr>
              <w:t>Zeer vaak</w:t>
            </w:r>
          </w:p>
        </w:tc>
      </w:tr>
      <w:tr w:rsidR="00285B13" w:rsidRPr="00CD4E37" w14:paraId="19BD9527" w14:textId="77777777" w:rsidTr="00387A3F">
        <w:trPr>
          <w:cantSplit/>
        </w:trPr>
        <w:tc>
          <w:tcPr>
            <w:tcW w:w="9067" w:type="dxa"/>
            <w:gridSpan w:val="4"/>
            <w:tcBorders>
              <w:bottom w:val="single" w:sz="4" w:space="0" w:color="auto"/>
            </w:tcBorders>
            <w:shd w:val="clear" w:color="auto" w:fill="auto"/>
            <w:vAlign w:val="center"/>
          </w:tcPr>
          <w:p w14:paraId="0738666A" w14:textId="77777777" w:rsidR="00285B13" w:rsidRPr="00CD4E37" w:rsidRDefault="00285B13" w:rsidP="00387A3F">
            <w:pPr>
              <w:keepNext/>
              <w:keepLines/>
              <w:autoSpaceDE w:val="0"/>
              <w:autoSpaceDN w:val="0"/>
              <w:adjustRightInd w:val="0"/>
              <w:spacing w:line="240" w:lineRule="auto"/>
              <w:rPr>
                <w:szCs w:val="22"/>
                <w:lang w:val="nl-NL"/>
              </w:rPr>
            </w:pPr>
            <w:r w:rsidRPr="00CD4E37">
              <w:rPr>
                <w:b/>
                <w:bCs/>
                <w:szCs w:val="22"/>
                <w:lang w:val="nl-NL"/>
              </w:rPr>
              <w:t>Bloed- en lymfestelselaandoeningen</w:t>
            </w:r>
          </w:p>
        </w:tc>
      </w:tr>
      <w:tr w:rsidR="00285B13" w:rsidRPr="00CD4E37" w14:paraId="688A15D3" w14:textId="77777777" w:rsidTr="001C6ECA">
        <w:trPr>
          <w:cantSplit/>
          <w:trHeight w:val="70"/>
        </w:trPr>
        <w:tc>
          <w:tcPr>
            <w:tcW w:w="3595" w:type="dxa"/>
            <w:tcBorders>
              <w:bottom w:val="single" w:sz="4" w:space="0" w:color="auto"/>
            </w:tcBorders>
            <w:shd w:val="clear" w:color="auto" w:fill="auto"/>
          </w:tcPr>
          <w:p w14:paraId="190FA5D4" w14:textId="77777777" w:rsidR="00285B13" w:rsidRPr="00CD4E37" w:rsidRDefault="00285B13" w:rsidP="00387A3F">
            <w:pPr>
              <w:spacing w:line="240" w:lineRule="auto"/>
              <w:rPr>
                <w:szCs w:val="22"/>
                <w:lang w:val="nl-NL"/>
              </w:rPr>
            </w:pPr>
            <w:r w:rsidRPr="00CD4E37">
              <w:rPr>
                <w:szCs w:val="22"/>
                <w:lang w:val="nl-NL"/>
              </w:rPr>
              <w:t>Trombocytopenie</w:t>
            </w:r>
            <w:r w:rsidRPr="00CD4E37">
              <w:rPr>
                <w:szCs w:val="22"/>
                <w:vertAlign w:val="superscript"/>
                <w:lang w:val="nl-NL"/>
              </w:rPr>
              <w:t>e</w:t>
            </w:r>
          </w:p>
        </w:tc>
        <w:tc>
          <w:tcPr>
            <w:tcW w:w="1814" w:type="dxa"/>
            <w:tcBorders>
              <w:bottom w:val="single" w:sz="4" w:space="0" w:color="auto"/>
            </w:tcBorders>
            <w:shd w:val="clear" w:color="auto" w:fill="auto"/>
          </w:tcPr>
          <w:p w14:paraId="08597363"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40,0</w:t>
            </w:r>
          </w:p>
        </w:tc>
        <w:tc>
          <w:tcPr>
            <w:tcW w:w="1814" w:type="dxa"/>
            <w:tcBorders>
              <w:bottom w:val="single" w:sz="4" w:space="0" w:color="auto"/>
            </w:tcBorders>
            <w:shd w:val="clear" w:color="auto" w:fill="auto"/>
          </w:tcPr>
          <w:p w14:paraId="6AAC475F"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40,0</w:t>
            </w:r>
          </w:p>
        </w:tc>
        <w:tc>
          <w:tcPr>
            <w:tcW w:w="1844" w:type="dxa"/>
            <w:tcBorders>
              <w:bottom w:val="single" w:sz="4" w:space="0" w:color="auto"/>
            </w:tcBorders>
            <w:shd w:val="clear" w:color="auto" w:fill="auto"/>
          </w:tcPr>
          <w:p w14:paraId="6E3B005E" w14:textId="77777777" w:rsidR="00285B13" w:rsidRPr="00CD4E37" w:rsidRDefault="00285B13" w:rsidP="00387A3F">
            <w:pPr>
              <w:keepNext/>
              <w:keepLines/>
              <w:autoSpaceDE w:val="0"/>
              <w:autoSpaceDN w:val="0"/>
              <w:adjustRightInd w:val="0"/>
              <w:spacing w:line="240" w:lineRule="auto"/>
              <w:jc w:val="center"/>
              <w:rPr>
                <w:szCs w:val="22"/>
                <w:lang w:val="nl-NL"/>
              </w:rPr>
            </w:pPr>
            <w:r w:rsidRPr="00CD4E37">
              <w:rPr>
                <w:szCs w:val="22"/>
                <w:lang w:val="nl-NL"/>
              </w:rPr>
              <w:t>Zeer vaak</w:t>
            </w:r>
          </w:p>
        </w:tc>
      </w:tr>
      <w:tr w:rsidR="00285B13" w:rsidRPr="00CD4E37" w14:paraId="1DFCE9FB" w14:textId="77777777" w:rsidTr="001C6ECA">
        <w:trPr>
          <w:cantSplit/>
          <w:trHeight w:val="70"/>
        </w:trPr>
        <w:tc>
          <w:tcPr>
            <w:tcW w:w="3595" w:type="dxa"/>
            <w:tcBorders>
              <w:top w:val="single" w:sz="4" w:space="0" w:color="auto"/>
              <w:bottom w:val="single" w:sz="4" w:space="0" w:color="auto"/>
            </w:tcBorders>
            <w:shd w:val="clear" w:color="auto" w:fill="auto"/>
          </w:tcPr>
          <w:p w14:paraId="14742D47" w14:textId="77777777" w:rsidR="00285B13" w:rsidRPr="00CD4E37" w:rsidRDefault="00285B13" w:rsidP="00387A3F">
            <w:pPr>
              <w:spacing w:line="240" w:lineRule="auto"/>
              <w:rPr>
                <w:szCs w:val="22"/>
                <w:lang w:val="nl-NL"/>
              </w:rPr>
            </w:pPr>
            <w:r w:rsidRPr="00CD4E37">
              <w:rPr>
                <w:szCs w:val="22"/>
                <w:lang w:val="nl-NL"/>
              </w:rPr>
              <w:t>Anemie</w:t>
            </w:r>
            <w:r w:rsidRPr="00CD4E37">
              <w:rPr>
                <w:szCs w:val="22"/>
                <w:vertAlign w:val="superscript"/>
                <w:lang w:val="nl-NL"/>
              </w:rPr>
              <w:t>e</w:t>
            </w:r>
          </w:p>
        </w:tc>
        <w:tc>
          <w:tcPr>
            <w:tcW w:w="1814" w:type="dxa"/>
            <w:tcBorders>
              <w:top w:val="single" w:sz="4" w:space="0" w:color="auto"/>
              <w:bottom w:val="single" w:sz="4" w:space="0" w:color="auto"/>
            </w:tcBorders>
            <w:shd w:val="clear" w:color="auto" w:fill="auto"/>
          </w:tcPr>
          <w:p w14:paraId="47F9A64E"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37,4</w:t>
            </w:r>
          </w:p>
        </w:tc>
        <w:tc>
          <w:tcPr>
            <w:tcW w:w="1814" w:type="dxa"/>
            <w:tcBorders>
              <w:top w:val="single" w:sz="4" w:space="0" w:color="auto"/>
              <w:bottom w:val="single" w:sz="4" w:space="0" w:color="auto"/>
            </w:tcBorders>
            <w:shd w:val="clear" w:color="auto" w:fill="auto"/>
          </w:tcPr>
          <w:p w14:paraId="4F6DC9F0"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35,5</w:t>
            </w:r>
          </w:p>
        </w:tc>
        <w:tc>
          <w:tcPr>
            <w:tcW w:w="1844" w:type="dxa"/>
            <w:tcBorders>
              <w:top w:val="single" w:sz="4" w:space="0" w:color="auto"/>
              <w:bottom w:val="single" w:sz="4" w:space="0" w:color="auto"/>
            </w:tcBorders>
            <w:shd w:val="clear" w:color="auto" w:fill="auto"/>
          </w:tcPr>
          <w:p w14:paraId="41E8E097" w14:textId="77777777" w:rsidR="00285B13" w:rsidRPr="00CD4E37" w:rsidRDefault="00285B13" w:rsidP="00387A3F">
            <w:pPr>
              <w:keepNext/>
              <w:keepLines/>
              <w:autoSpaceDE w:val="0"/>
              <w:autoSpaceDN w:val="0"/>
              <w:adjustRightInd w:val="0"/>
              <w:spacing w:line="240" w:lineRule="auto"/>
              <w:jc w:val="center"/>
              <w:rPr>
                <w:szCs w:val="22"/>
                <w:lang w:val="nl-NL"/>
              </w:rPr>
            </w:pPr>
            <w:r w:rsidRPr="00CD4E37">
              <w:rPr>
                <w:szCs w:val="22"/>
                <w:lang w:val="nl-NL"/>
              </w:rPr>
              <w:t>Zeer vaak</w:t>
            </w:r>
          </w:p>
        </w:tc>
      </w:tr>
      <w:tr w:rsidR="00285B13" w:rsidRPr="00CD4E37" w14:paraId="598674B5" w14:textId="77777777" w:rsidTr="001C6ECA">
        <w:trPr>
          <w:cantSplit/>
          <w:trHeight w:val="70"/>
        </w:trPr>
        <w:tc>
          <w:tcPr>
            <w:tcW w:w="3595" w:type="dxa"/>
            <w:tcBorders>
              <w:top w:val="single" w:sz="4" w:space="0" w:color="auto"/>
              <w:bottom w:val="single" w:sz="4" w:space="0" w:color="auto"/>
            </w:tcBorders>
            <w:shd w:val="clear" w:color="auto" w:fill="auto"/>
          </w:tcPr>
          <w:p w14:paraId="0AA915F5" w14:textId="77777777" w:rsidR="00285B13" w:rsidRPr="00CD4E37" w:rsidRDefault="00285B13" w:rsidP="00387A3F">
            <w:pPr>
              <w:spacing w:line="240" w:lineRule="auto"/>
              <w:rPr>
                <w:szCs w:val="22"/>
                <w:lang w:val="nl-NL"/>
              </w:rPr>
            </w:pPr>
            <w:r w:rsidRPr="00CD4E37">
              <w:rPr>
                <w:szCs w:val="22"/>
                <w:lang w:val="nl-NL"/>
              </w:rPr>
              <w:t>Neutropenie</w:t>
            </w:r>
            <w:r w:rsidRPr="00CD4E37">
              <w:rPr>
                <w:szCs w:val="22"/>
                <w:vertAlign w:val="superscript"/>
                <w:lang w:val="nl-NL"/>
              </w:rPr>
              <w:t>e</w:t>
            </w:r>
          </w:p>
        </w:tc>
        <w:tc>
          <w:tcPr>
            <w:tcW w:w="1814" w:type="dxa"/>
            <w:tcBorders>
              <w:top w:val="single" w:sz="4" w:space="0" w:color="auto"/>
              <w:bottom w:val="single" w:sz="4" w:space="0" w:color="auto"/>
            </w:tcBorders>
            <w:shd w:val="clear" w:color="auto" w:fill="auto"/>
          </w:tcPr>
          <w:p w14:paraId="13BC0E54"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21,9</w:t>
            </w:r>
          </w:p>
        </w:tc>
        <w:tc>
          <w:tcPr>
            <w:tcW w:w="1814" w:type="dxa"/>
            <w:tcBorders>
              <w:top w:val="single" w:sz="4" w:space="0" w:color="auto"/>
              <w:bottom w:val="single" w:sz="4" w:space="0" w:color="auto"/>
            </w:tcBorders>
            <w:shd w:val="clear" w:color="auto" w:fill="auto"/>
          </w:tcPr>
          <w:p w14:paraId="307E7A71"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21,5</w:t>
            </w:r>
          </w:p>
        </w:tc>
        <w:tc>
          <w:tcPr>
            <w:tcW w:w="1844" w:type="dxa"/>
            <w:tcBorders>
              <w:top w:val="single" w:sz="4" w:space="0" w:color="auto"/>
              <w:bottom w:val="single" w:sz="4" w:space="0" w:color="auto"/>
            </w:tcBorders>
            <w:shd w:val="clear" w:color="auto" w:fill="auto"/>
          </w:tcPr>
          <w:p w14:paraId="7F2C174A" w14:textId="77777777" w:rsidR="00285B13" w:rsidRPr="00CD4E37" w:rsidRDefault="00285B13" w:rsidP="00387A3F">
            <w:pPr>
              <w:keepNext/>
              <w:keepLines/>
              <w:autoSpaceDE w:val="0"/>
              <w:autoSpaceDN w:val="0"/>
              <w:adjustRightInd w:val="0"/>
              <w:spacing w:line="240" w:lineRule="auto"/>
              <w:jc w:val="center"/>
              <w:rPr>
                <w:szCs w:val="22"/>
                <w:lang w:val="nl-NL"/>
              </w:rPr>
            </w:pPr>
            <w:r w:rsidRPr="00CD4E37">
              <w:rPr>
                <w:szCs w:val="22"/>
                <w:lang w:val="nl-NL"/>
              </w:rPr>
              <w:t>Zeer vaak</w:t>
            </w:r>
          </w:p>
        </w:tc>
      </w:tr>
      <w:tr w:rsidR="00285B13" w:rsidRPr="00CD4E37" w14:paraId="0ECCA6EB" w14:textId="77777777" w:rsidTr="001C6ECA">
        <w:trPr>
          <w:cantSplit/>
          <w:trHeight w:val="70"/>
        </w:trPr>
        <w:tc>
          <w:tcPr>
            <w:tcW w:w="3595" w:type="dxa"/>
            <w:tcBorders>
              <w:top w:val="single" w:sz="4" w:space="0" w:color="auto"/>
            </w:tcBorders>
            <w:shd w:val="clear" w:color="auto" w:fill="auto"/>
          </w:tcPr>
          <w:p w14:paraId="1638234A" w14:textId="77777777" w:rsidR="00285B13" w:rsidRPr="00CD4E37" w:rsidRDefault="00285B13" w:rsidP="00387A3F">
            <w:pPr>
              <w:spacing w:line="240" w:lineRule="auto"/>
              <w:rPr>
                <w:szCs w:val="22"/>
                <w:lang w:val="nl-NL"/>
              </w:rPr>
            </w:pPr>
            <w:r w:rsidRPr="00CD4E37">
              <w:rPr>
                <w:szCs w:val="22"/>
                <w:lang w:val="nl-NL"/>
              </w:rPr>
              <w:t>Pancytopenie</w:t>
            </w:r>
          </w:p>
        </w:tc>
        <w:tc>
          <w:tcPr>
            <w:tcW w:w="1814" w:type="dxa"/>
            <w:tcBorders>
              <w:top w:val="single" w:sz="4" w:space="0" w:color="auto"/>
            </w:tcBorders>
            <w:shd w:val="clear" w:color="auto" w:fill="auto"/>
          </w:tcPr>
          <w:p w14:paraId="02AE9811"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2,6</w:t>
            </w:r>
          </w:p>
        </w:tc>
        <w:tc>
          <w:tcPr>
            <w:tcW w:w="1814" w:type="dxa"/>
            <w:tcBorders>
              <w:top w:val="single" w:sz="4" w:space="0" w:color="auto"/>
            </w:tcBorders>
            <w:shd w:val="clear" w:color="auto" w:fill="auto"/>
          </w:tcPr>
          <w:p w14:paraId="7F0C70E8" w14:textId="77777777" w:rsidR="00285B13" w:rsidRPr="00CD4E37" w:rsidRDefault="00285B13" w:rsidP="00387A3F">
            <w:pPr>
              <w:autoSpaceDE w:val="0"/>
              <w:autoSpaceDN w:val="0"/>
              <w:adjustRightInd w:val="0"/>
              <w:spacing w:line="240" w:lineRule="auto"/>
              <w:jc w:val="center"/>
              <w:rPr>
                <w:bCs/>
                <w:szCs w:val="22"/>
                <w:lang w:val="nl-NL"/>
              </w:rPr>
            </w:pPr>
            <w:r w:rsidRPr="00CD4E37">
              <w:rPr>
                <w:szCs w:val="22"/>
                <w:lang w:val="nl-NL"/>
              </w:rPr>
              <w:t>2,3</w:t>
            </w:r>
          </w:p>
        </w:tc>
        <w:tc>
          <w:tcPr>
            <w:tcW w:w="1844" w:type="dxa"/>
            <w:tcBorders>
              <w:top w:val="single" w:sz="4" w:space="0" w:color="auto"/>
            </w:tcBorders>
            <w:shd w:val="clear" w:color="auto" w:fill="auto"/>
          </w:tcPr>
          <w:p w14:paraId="1B545EFC" w14:textId="77777777" w:rsidR="00285B13" w:rsidRPr="00CD4E37" w:rsidRDefault="00285B13" w:rsidP="00387A3F">
            <w:pPr>
              <w:keepNext/>
              <w:keepLines/>
              <w:autoSpaceDE w:val="0"/>
              <w:autoSpaceDN w:val="0"/>
              <w:adjustRightInd w:val="0"/>
              <w:spacing w:line="240" w:lineRule="auto"/>
              <w:jc w:val="center"/>
              <w:rPr>
                <w:szCs w:val="22"/>
                <w:lang w:val="nl-NL"/>
              </w:rPr>
            </w:pPr>
            <w:r w:rsidRPr="00CD4E37">
              <w:rPr>
                <w:szCs w:val="22"/>
                <w:lang w:val="nl-NL"/>
              </w:rPr>
              <w:t>Vaak</w:t>
            </w:r>
          </w:p>
        </w:tc>
      </w:tr>
      <w:tr w:rsidR="00285B13" w:rsidRPr="00CD4E37" w14:paraId="2631DE27" w14:textId="77777777" w:rsidTr="00387A3F">
        <w:trPr>
          <w:cantSplit/>
        </w:trPr>
        <w:tc>
          <w:tcPr>
            <w:tcW w:w="9067" w:type="dxa"/>
            <w:gridSpan w:val="4"/>
          </w:tcPr>
          <w:p w14:paraId="5C2C2FC7"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Voedings- en stofwisselingsstoornissen</w:t>
            </w:r>
          </w:p>
        </w:tc>
      </w:tr>
      <w:tr w:rsidR="00285B13" w:rsidRPr="00CD4E37" w14:paraId="624312BF" w14:textId="77777777" w:rsidTr="00387A3F">
        <w:trPr>
          <w:cantSplit/>
        </w:trPr>
        <w:tc>
          <w:tcPr>
            <w:tcW w:w="3595" w:type="dxa"/>
            <w:shd w:val="clear" w:color="auto" w:fill="auto"/>
          </w:tcPr>
          <w:p w14:paraId="6224577B" w14:textId="77777777" w:rsidR="00285B13" w:rsidRPr="00CD4E37" w:rsidRDefault="00285B13" w:rsidP="00387A3F">
            <w:pPr>
              <w:rPr>
                <w:szCs w:val="22"/>
                <w:highlight w:val="lightGray"/>
                <w:lang w:val="nl-NL"/>
              </w:rPr>
            </w:pPr>
            <w:r w:rsidRPr="00CD4E37">
              <w:rPr>
                <w:szCs w:val="22"/>
                <w:lang w:val="nl-NL"/>
              </w:rPr>
              <w:t>Verminderde eetlust</w:t>
            </w:r>
          </w:p>
        </w:tc>
        <w:tc>
          <w:tcPr>
            <w:tcW w:w="1814" w:type="dxa"/>
            <w:shd w:val="clear" w:color="auto" w:fill="auto"/>
            <w:vAlign w:val="bottom"/>
          </w:tcPr>
          <w:p w14:paraId="273CF74E"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17,4</w:t>
            </w:r>
          </w:p>
        </w:tc>
        <w:tc>
          <w:tcPr>
            <w:tcW w:w="1814" w:type="dxa"/>
            <w:shd w:val="clear" w:color="auto" w:fill="auto"/>
            <w:vAlign w:val="bottom"/>
          </w:tcPr>
          <w:p w14:paraId="68E83B35"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4,9</w:t>
            </w:r>
          </w:p>
        </w:tc>
        <w:tc>
          <w:tcPr>
            <w:tcW w:w="1844" w:type="dxa"/>
            <w:shd w:val="clear" w:color="auto" w:fill="auto"/>
            <w:vAlign w:val="bottom"/>
          </w:tcPr>
          <w:p w14:paraId="30345239"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3C59FF5C" w14:textId="77777777" w:rsidTr="00387A3F">
        <w:trPr>
          <w:cantSplit/>
        </w:trPr>
        <w:tc>
          <w:tcPr>
            <w:tcW w:w="9067" w:type="dxa"/>
            <w:gridSpan w:val="4"/>
          </w:tcPr>
          <w:p w14:paraId="42331283"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Zenuwstelselaandoeningen</w:t>
            </w:r>
          </w:p>
        </w:tc>
      </w:tr>
      <w:tr w:rsidR="00285B13" w:rsidRPr="00CD4E37" w14:paraId="0F1B785E" w14:textId="77777777" w:rsidTr="00387A3F">
        <w:trPr>
          <w:cantSplit/>
        </w:trPr>
        <w:tc>
          <w:tcPr>
            <w:tcW w:w="3595" w:type="dxa"/>
            <w:shd w:val="clear" w:color="auto" w:fill="auto"/>
          </w:tcPr>
          <w:p w14:paraId="63A6491B" w14:textId="77777777" w:rsidR="00285B13" w:rsidRPr="00CD4E37" w:rsidRDefault="00285B13" w:rsidP="00387A3F">
            <w:pPr>
              <w:rPr>
                <w:szCs w:val="22"/>
                <w:lang w:val="nl-NL"/>
              </w:rPr>
            </w:pPr>
            <w:r w:rsidRPr="00CD4E37">
              <w:rPr>
                <w:szCs w:val="22"/>
                <w:lang w:val="nl-NL"/>
              </w:rPr>
              <w:t>Hoofdpijn</w:t>
            </w:r>
            <w:r w:rsidRPr="00CD4E37">
              <w:rPr>
                <w:szCs w:val="22"/>
                <w:vertAlign w:val="superscript"/>
                <w:lang w:val="nl-NL"/>
              </w:rPr>
              <w:t>f</w:t>
            </w:r>
          </w:p>
        </w:tc>
        <w:tc>
          <w:tcPr>
            <w:tcW w:w="1814" w:type="dxa"/>
            <w:shd w:val="clear" w:color="auto" w:fill="auto"/>
            <w:vAlign w:val="bottom"/>
          </w:tcPr>
          <w:p w14:paraId="7D4F8518"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27,5</w:t>
            </w:r>
          </w:p>
        </w:tc>
        <w:tc>
          <w:tcPr>
            <w:tcW w:w="1814" w:type="dxa"/>
            <w:shd w:val="clear" w:color="auto" w:fill="auto"/>
            <w:vAlign w:val="bottom"/>
          </w:tcPr>
          <w:p w14:paraId="6EB1E652"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0</w:t>
            </w:r>
          </w:p>
        </w:tc>
        <w:tc>
          <w:tcPr>
            <w:tcW w:w="1844" w:type="dxa"/>
            <w:shd w:val="clear" w:color="auto" w:fill="auto"/>
          </w:tcPr>
          <w:p w14:paraId="39DDDAB1"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1B9C94C1" w14:textId="77777777" w:rsidTr="00387A3F">
        <w:trPr>
          <w:cantSplit/>
        </w:trPr>
        <w:tc>
          <w:tcPr>
            <w:tcW w:w="9067" w:type="dxa"/>
            <w:gridSpan w:val="4"/>
            <w:tcBorders>
              <w:bottom w:val="single" w:sz="4" w:space="0" w:color="auto"/>
            </w:tcBorders>
          </w:tcPr>
          <w:p w14:paraId="2BE56D3D"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Hartaandoeningen</w:t>
            </w:r>
          </w:p>
        </w:tc>
      </w:tr>
      <w:tr w:rsidR="00285B13" w:rsidRPr="00CD4E37" w14:paraId="123BE8D1" w14:textId="77777777" w:rsidTr="001C6ECA">
        <w:trPr>
          <w:cantSplit/>
          <w:trHeight w:val="78"/>
        </w:trPr>
        <w:tc>
          <w:tcPr>
            <w:tcW w:w="3595" w:type="dxa"/>
            <w:tcBorders>
              <w:bottom w:val="single" w:sz="4" w:space="0" w:color="auto"/>
            </w:tcBorders>
          </w:tcPr>
          <w:p w14:paraId="6103708D" w14:textId="77777777" w:rsidR="00285B13" w:rsidRPr="00CD4E37" w:rsidRDefault="00285B13" w:rsidP="00387A3F">
            <w:pPr>
              <w:rPr>
                <w:b/>
                <w:bCs/>
                <w:szCs w:val="22"/>
                <w:lang w:val="nl-NL"/>
              </w:rPr>
            </w:pPr>
            <w:r w:rsidRPr="00CD4E37">
              <w:rPr>
                <w:szCs w:val="22"/>
                <w:lang w:val="nl-NL"/>
              </w:rPr>
              <w:t>Hartstilstand</w:t>
            </w:r>
            <w:r w:rsidRPr="00CD4E37">
              <w:rPr>
                <w:szCs w:val="22"/>
                <w:vertAlign w:val="superscript"/>
                <w:lang w:val="nl-NL"/>
              </w:rPr>
              <w:t>g</w:t>
            </w:r>
          </w:p>
        </w:tc>
        <w:tc>
          <w:tcPr>
            <w:tcW w:w="1814" w:type="dxa"/>
            <w:tcBorders>
              <w:bottom w:val="single" w:sz="4" w:space="0" w:color="auto"/>
            </w:tcBorders>
          </w:tcPr>
          <w:p w14:paraId="5C01B327"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0,8</w:t>
            </w:r>
          </w:p>
        </w:tc>
        <w:tc>
          <w:tcPr>
            <w:tcW w:w="1814" w:type="dxa"/>
            <w:tcBorders>
              <w:bottom w:val="single" w:sz="4" w:space="0" w:color="auto"/>
            </w:tcBorders>
          </w:tcPr>
          <w:p w14:paraId="4842C884"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0,4</w:t>
            </w:r>
          </w:p>
        </w:tc>
        <w:tc>
          <w:tcPr>
            <w:tcW w:w="1844" w:type="dxa"/>
            <w:tcBorders>
              <w:bottom w:val="single" w:sz="4" w:space="0" w:color="auto"/>
            </w:tcBorders>
          </w:tcPr>
          <w:p w14:paraId="451358A1" w14:textId="77777777" w:rsidR="00285B13" w:rsidRPr="00CD4E37" w:rsidRDefault="00285B13" w:rsidP="00387A3F">
            <w:pPr>
              <w:keepNext/>
              <w:keepLines/>
              <w:tabs>
                <w:tab w:val="clear" w:pos="567"/>
              </w:tabs>
              <w:spacing w:line="240" w:lineRule="auto"/>
              <w:contextualSpacing/>
              <w:jc w:val="center"/>
              <w:rPr>
                <w:b/>
                <w:bCs/>
                <w:szCs w:val="22"/>
                <w:lang w:val="nl-NL"/>
              </w:rPr>
            </w:pPr>
            <w:r w:rsidRPr="00CD4E37">
              <w:rPr>
                <w:szCs w:val="22"/>
                <w:lang w:val="nl-NL"/>
              </w:rPr>
              <w:t>Soms</w:t>
            </w:r>
          </w:p>
        </w:tc>
      </w:tr>
      <w:tr w:rsidR="00285B13" w:rsidRPr="00CD4E37" w14:paraId="632DCBA7" w14:textId="77777777" w:rsidTr="001C6ECA">
        <w:trPr>
          <w:cantSplit/>
          <w:trHeight w:val="82"/>
        </w:trPr>
        <w:tc>
          <w:tcPr>
            <w:tcW w:w="3595" w:type="dxa"/>
            <w:tcBorders>
              <w:top w:val="single" w:sz="4" w:space="0" w:color="auto"/>
            </w:tcBorders>
          </w:tcPr>
          <w:p w14:paraId="1F5F429D" w14:textId="77777777" w:rsidR="00285B13" w:rsidRPr="00CD4E37" w:rsidRDefault="00285B13" w:rsidP="00387A3F">
            <w:pPr>
              <w:rPr>
                <w:szCs w:val="22"/>
                <w:lang w:val="nl-NL"/>
              </w:rPr>
            </w:pPr>
            <w:r w:rsidRPr="00CD4E37">
              <w:rPr>
                <w:szCs w:val="22"/>
                <w:lang w:val="nl-NL"/>
              </w:rPr>
              <w:t>Ventrikelfibrilleren</w:t>
            </w:r>
            <w:r w:rsidRPr="00CD4E37">
              <w:rPr>
                <w:szCs w:val="22"/>
                <w:vertAlign w:val="superscript"/>
                <w:lang w:val="nl-NL"/>
              </w:rPr>
              <w:t>g</w:t>
            </w:r>
          </w:p>
        </w:tc>
        <w:tc>
          <w:tcPr>
            <w:tcW w:w="1814" w:type="dxa"/>
            <w:tcBorders>
              <w:top w:val="single" w:sz="4" w:space="0" w:color="auto"/>
            </w:tcBorders>
          </w:tcPr>
          <w:p w14:paraId="248B4CB7"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0,4</w:t>
            </w:r>
          </w:p>
        </w:tc>
        <w:tc>
          <w:tcPr>
            <w:tcW w:w="1814" w:type="dxa"/>
            <w:tcBorders>
              <w:top w:val="single" w:sz="4" w:space="0" w:color="auto"/>
            </w:tcBorders>
          </w:tcPr>
          <w:p w14:paraId="0F0ACD7E"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0,4</w:t>
            </w:r>
          </w:p>
        </w:tc>
        <w:tc>
          <w:tcPr>
            <w:tcW w:w="1844" w:type="dxa"/>
            <w:tcBorders>
              <w:top w:val="single" w:sz="4" w:space="0" w:color="auto"/>
            </w:tcBorders>
          </w:tcPr>
          <w:p w14:paraId="2C7A196A" w14:textId="77777777" w:rsidR="00285B13" w:rsidRPr="00CD4E37" w:rsidRDefault="00285B13" w:rsidP="00387A3F">
            <w:pPr>
              <w:keepNext/>
              <w:keepLines/>
              <w:tabs>
                <w:tab w:val="clear" w:pos="567"/>
              </w:tabs>
              <w:spacing w:line="240" w:lineRule="auto"/>
              <w:contextualSpacing/>
              <w:jc w:val="center"/>
              <w:rPr>
                <w:b/>
                <w:bCs/>
                <w:szCs w:val="22"/>
                <w:lang w:val="nl-NL"/>
              </w:rPr>
            </w:pPr>
            <w:r w:rsidRPr="00CD4E37">
              <w:rPr>
                <w:szCs w:val="22"/>
                <w:lang w:val="nl-NL"/>
              </w:rPr>
              <w:t>Soms</w:t>
            </w:r>
          </w:p>
        </w:tc>
      </w:tr>
      <w:tr w:rsidR="00285B13" w:rsidRPr="00CD4E37" w14:paraId="39DC3110" w14:textId="77777777" w:rsidTr="00387A3F">
        <w:trPr>
          <w:cantSplit/>
        </w:trPr>
        <w:tc>
          <w:tcPr>
            <w:tcW w:w="9067" w:type="dxa"/>
            <w:gridSpan w:val="4"/>
          </w:tcPr>
          <w:p w14:paraId="6EEA9ED5"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Ademhalingsstelsel-, borstkas- en mediastinumaandoeningen</w:t>
            </w:r>
          </w:p>
        </w:tc>
      </w:tr>
      <w:tr w:rsidR="00285B13" w:rsidRPr="00CD4E37" w14:paraId="4BC651EB" w14:textId="77777777" w:rsidTr="00387A3F">
        <w:trPr>
          <w:cantSplit/>
        </w:trPr>
        <w:tc>
          <w:tcPr>
            <w:tcW w:w="3595" w:type="dxa"/>
            <w:shd w:val="clear" w:color="auto" w:fill="auto"/>
          </w:tcPr>
          <w:p w14:paraId="4F530B01" w14:textId="77777777" w:rsidR="00285B13" w:rsidRPr="00CD4E37" w:rsidRDefault="00285B13" w:rsidP="00387A3F">
            <w:pPr>
              <w:rPr>
                <w:lang w:val="nl-NL"/>
              </w:rPr>
            </w:pPr>
            <w:r w:rsidRPr="00CD4E37">
              <w:rPr>
                <w:szCs w:val="22"/>
                <w:lang w:val="nl-NL"/>
              </w:rPr>
              <w:t>Bloedneus</w:t>
            </w:r>
          </w:p>
        </w:tc>
        <w:tc>
          <w:tcPr>
            <w:tcW w:w="1814" w:type="dxa"/>
            <w:shd w:val="clear" w:color="auto" w:fill="auto"/>
            <w:vAlign w:val="bottom"/>
          </w:tcPr>
          <w:p w14:paraId="3FD9F72F"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15,1</w:t>
            </w:r>
          </w:p>
        </w:tc>
        <w:tc>
          <w:tcPr>
            <w:tcW w:w="1814" w:type="dxa"/>
            <w:shd w:val="clear" w:color="auto" w:fill="auto"/>
            <w:vAlign w:val="bottom"/>
          </w:tcPr>
          <w:p w14:paraId="27ECAD67"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1,1</w:t>
            </w:r>
          </w:p>
        </w:tc>
        <w:tc>
          <w:tcPr>
            <w:tcW w:w="1844" w:type="dxa"/>
            <w:shd w:val="clear" w:color="auto" w:fill="auto"/>
          </w:tcPr>
          <w:p w14:paraId="3DC50E67"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78317127" w14:textId="77777777" w:rsidTr="00387A3F">
        <w:trPr>
          <w:cantSplit/>
        </w:trPr>
        <w:tc>
          <w:tcPr>
            <w:tcW w:w="9067" w:type="dxa"/>
            <w:gridSpan w:val="4"/>
            <w:tcBorders>
              <w:bottom w:val="single" w:sz="4" w:space="0" w:color="auto"/>
            </w:tcBorders>
          </w:tcPr>
          <w:p w14:paraId="12418FAC"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Maagdarmstelselaandoeningen</w:t>
            </w:r>
          </w:p>
        </w:tc>
      </w:tr>
      <w:tr w:rsidR="00285B13" w:rsidRPr="00CD4E37" w14:paraId="51537FA7" w14:textId="77777777" w:rsidTr="001C6ECA">
        <w:trPr>
          <w:cantSplit/>
        </w:trPr>
        <w:tc>
          <w:tcPr>
            <w:tcW w:w="3595" w:type="dxa"/>
            <w:tcBorders>
              <w:bottom w:val="single" w:sz="4" w:space="0" w:color="auto"/>
            </w:tcBorders>
            <w:shd w:val="clear" w:color="auto" w:fill="auto"/>
          </w:tcPr>
          <w:p w14:paraId="1BCEE3CD" w14:textId="77777777" w:rsidR="00285B13" w:rsidRPr="00CD4E37" w:rsidRDefault="00285B13" w:rsidP="00387A3F">
            <w:pPr>
              <w:rPr>
                <w:szCs w:val="22"/>
                <w:u w:val="single"/>
                <w:lang w:val="nl-NL"/>
              </w:rPr>
            </w:pPr>
            <w:r w:rsidRPr="00CD4E37">
              <w:rPr>
                <w:szCs w:val="22"/>
                <w:lang w:val="nl-NL"/>
              </w:rPr>
              <w:t>Diarree</w:t>
            </w:r>
            <w:r w:rsidRPr="00CD4E37">
              <w:rPr>
                <w:szCs w:val="22"/>
                <w:vertAlign w:val="superscript"/>
                <w:lang w:val="nl-NL"/>
              </w:rPr>
              <w:t>h</w:t>
            </w:r>
          </w:p>
        </w:tc>
        <w:tc>
          <w:tcPr>
            <w:tcW w:w="1814" w:type="dxa"/>
            <w:tcBorders>
              <w:bottom w:val="single" w:sz="4" w:space="0" w:color="auto"/>
            </w:tcBorders>
            <w:shd w:val="clear" w:color="auto" w:fill="auto"/>
          </w:tcPr>
          <w:p w14:paraId="6B05E20C" w14:textId="77777777" w:rsidR="00285B13" w:rsidRPr="00CD4E37" w:rsidRDefault="00285B13" w:rsidP="00387A3F">
            <w:pPr>
              <w:autoSpaceDE w:val="0"/>
              <w:autoSpaceDN w:val="0"/>
              <w:adjustRightInd w:val="0"/>
              <w:jc w:val="center"/>
              <w:rPr>
                <w:szCs w:val="22"/>
                <w:lang w:val="nl-NL"/>
              </w:rPr>
            </w:pPr>
            <w:r w:rsidRPr="00CD4E37">
              <w:rPr>
                <w:szCs w:val="22"/>
                <w:lang w:val="nl-NL"/>
              </w:rPr>
              <w:t>37,0</w:t>
            </w:r>
          </w:p>
        </w:tc>
        <w:tc>
          <w:tcPr>
            <w:tcW w:w="1814" w:type="dxa"/>
            <w:tcBorders>
              <w:bottom w:val="single" w:sz="4" w:space="0" w:color="auto"/>
            </w:tcBorders>
            <w:shd w:val="clear" w:color="auto" w:fill="auto"/>
          </w:tcPr>
          <w:p w14:paraId="5BBDD780" w14:textId="77777777" w:rsidR="00285B13" w:rsidRPr="00CD4E37" w:rsidRDefault="00285B13" w:rsidP="00387A3F">
            <w:pPr>
              <w:autoSpaceDE w:val="0"/>
              <w:autoSpaceDN w:val="0"/>
              <w:adjustRightInd w:val="0"/>
              <w:jc w:val="center"/>
              <w:rPr>
                <w:szCs w:val="22"/>
                <w:lang w:val="nl-NL"/>
              </w:rPr>
            </w:pPr>
            <w:r w:rsidRPr="00CD4E37">
              <w:rPr>
                <w:szCs w:val="22"/>
                <w:lang w:val="nl-NL"/>
              </w:rPr>
              <w:t>3,8</w:t>
            </w:r>
          </w:p>
        </w:tc>
        <w:tc>
          <w:tcPr>
            <w:tcW w:w="1844" w:type="dxa"/>
            <w:tcBorders>
              <w:bottom w:val="single" w:sz="4" w:space="0" w:color="auto"/>
            </w:tcBorders>
            <w:shd w:val="clear" w:color="auto" w:fill="auto"/>
          </w:tcPr>
          <w:p w14:paraId="1D012E22"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598541FB" w14:textId="77777777" w:rsidTr="001C6ECA">
        <w:trPr>
          <w:cantSplit/>
        </w:trPr>
        <w:tc>
          <w:tcPr>
            <w:tcW w:w="3595" w:type="dxa"/>
            <w:tcBorders>
              <w:top w:val="single" w:sz="4" w:space="0" w:color="auto"/>
              <w:bottom w:val="single" w:sz="4" w:space="0" w:color="auto"/>
            </w:tcBorders>
            <w:shd w:val="clear" w:color="auto" w:fill="auto"/>
          </w:tcPr>
          <w:p w14:paraId="0B551771" w14:textId="77777777" w:rsidR="00285B13" w:rsidRPr="00CD4E37" w:rsidRDefault="00285B13" w:rsidP="00387A3F">
            <w:pPr>
              <w:rPr>
                <w:szCs w:val="22"/>
                <w:lang w:val="nl-NL"/>
              </w:rPr>
            </w:pPr>
            <w:r w:rsidRPr="00CD4E37">
              <w:rPr>
                <w:szCs w:val="22"/>
                <w:lang w:val="nl-NL"/>
              </w:rPr>
              <w:t>Nausea</w:t>
            </w:r>
          </w:p>
        </w:tc>
        <w:tc>
          <w:tcPr>
            <w:tcW w:w="1814" w:type="dxa"/>
            <w:tcBorders>
              <w:top w:val="single" w:sz="4" w:space="0" w:color="auto"/>
              <w:bottom w:val="single" w:sz="4" w:space="0" w:color="auto"/>
            </w:tcBorders>
            <w:shd w:val="clear" w:color="auto" w:fill="auto"/>
          </w:tcPr>
          <w:p w14:paraId="5A71017F" w14:textId="77777777" w:rsidR="00285B13" w:rsidRPr="00CD4E37" w:rsidRDefault="00285B13" w:rsidP="00387A3F">
            <w:pPr>
              <w:autoSpaceDE w:val="0"/>
              <w:autoSpaceDN w:val="0"/>
              <w:adjustRightInd w:val="0"/>
              <w:jc w:val="center"/>
              <w:rPr>
                <w:szCs w:val="22"/>
                <w:lang w:val="nl-NL"/>
              </w:rPr>
            </w:pPr>
            <w:r w:rsidRPr="00CD4E37">
              <w:rPr>
                <w:szCs w:val="22"/>
                <w:lang w:val="nl-NL"/>
              </w:rPr>
              <w:t>34,0</w:t>
            </w:r>
          </w:p>
        </w:tc>
        <w:tc>
          <w:tcPr>
            <w:tcW w:w="1814" w:type="dxa"/>
            <w:tcBorders>
              <w:top w:val="single" w:sz="4" w:space="0" w:color="auto"/>
              <w:bottom w:val="single" w:sz="4" w:space="0" w:color="auto"/>
            </w:tcBorders>
            <w:shd w:val="clear" w:color="auto" w:fill="auto"/>
          </w:tcPr>
          <w:p w14:paraId="3C534EDC" w14:textId="77777777" w:rsidR="00285B13" w:rsidRPr="00CD4E37" w:rsidRDefault="00285B13" w:rsidP="00387A3F">
            <w:pPr>
              <w:autoSpaceDE w:val="0"/>
              <w:autoSpaceDN w:val="0"/>
              <w:adjustRightInd w:val="0"/>
              <w:jc w:val="center"/>
              <w:rPr>
                <w:szCs w:val="22"/>
                <w:lang w:val="nl-NL"/>
              </w:rPr>
            </w:pPr>
            <w:r w:rsidRPr="00CD4E37">
              <w:rPr>
                <w:szCs w:val="22"/>
                <w:lang w:val="nl-NL"/>
              </w:rPr>
              <w:t>1,5</w:t>
            </w:r>
          </w:p>
        </w:tc>
        <w:tc>
          <w:tcPr>
            <w:tcW w:w="1844" w:type="dxa"/>
            <w:tcBorders>
              <w:top w:val="single" w:sz="4" w:space="0" w:color="auto"/>
              <w:bottom w:val="single" w:sz="4" w:space="0" w:color="auto"/>
            </w:tcBorders>
            <w:shd w:val="clear" w:color="auto" w:fill="auto"/>
          </w:tcPr>
          <w:p w14:paraId="63053313"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2D2EB19D" w14:textId="77777777" w:rsidTr="001C6ECA">
        <w:trPr>
          <w:cantSplit/>
        </w:trPr>
        <w:tc>
          <w:tcPr>
            <w:tcW w:w="3595" w:type="dxa"/>
            <w:tcBorders>
              <w:top w:val="single" w:sz="4" w:space="0" w:color="auto"/>
              <w:bottom w:val="single" w:sz="4" w:space="0" w:color="auto"/>
            </w:tcBorders>
            <w:shd w:val="clear" w:color="auto" w:fill="auto"/>
          </w:tcPr>
          <w:p w14:paraId="68413178" w14:textId="77777777" w:rsidR="00285B13" w:rsidRPr="00CD4E37" w:rsidRDefault="00285B13" w:rsidP="00387A3F">
            <w:pPr>
              <w:rPr>
                <w:szCs w:val="22"/>
                <w:lang w:val="nl-NL"/>
              </w:rPr>
            </w:pPr>
            <w:r w:rsidRPr="00CD4E37">
              <w:rPr>
                <w:szCs w:val="22"/>
                <w:lang w:val="nl-NL"/>
              </w:rPr>
              <w:t>Buikpijn</w:t>
            </w:r>
            <w:r w:rsidRPr="00CD4E37">
              <w:rPr>
                <w:szCs w:val="22"/>
                <w:vertAlign w:val="superscript"/>
                <w:lang w:val="nl-NL"/>
              </w:rPr>
              <w:t>i</w:t>
            </w:r>
          </w:p>
        </w:tc>
        <w:tc>
          <w:tcPr>
            <w:tcW w:w="1814" w:type="dxa"/>
            <w:tcBorders>
              <w:top w:val="single" w:sz="4" w:space="0" w:color="auto"/>
              <w:bottom w:val="single" w:sz="4" w:space="0" w:color="auto"/>
            </w:tcBorders>
            <w:shd w:val="clear" w:color="auto" w:fill="auto"/>
          </w:tcPr>
          <w:p w14:paraId="2813A907" w14:textId="77777777" w:rsidR="00285B13" w:rsidRPr="00CD4E37" w:rsidRDefault="00285B13" w:rsidP="00387A3F">
            <w:pPr>
              <w:autoSpaceDE w:val="0"/>
              <w:autoSpaceDN w:val="0"/>
              <w:adjustRightInd w:val="0"/>
              <w:jc w:val="center"/>
              <w:rPr>
                <w:szCs w:val="22"/>
                <w:lang w:val="nl-NL"/>
              </w:rPr>
            </w:pPr>
            <w:r w:rsidRPr="00CD4E37">
              <w:rPr>
                <w:szCs w:val="22"/>
                <w:lang w:val="nl-NL"/>
              </w:rPr>
              <w:t>29,4</w:t>
            </w:r>
          </w:p>
        </w:tc>
        <w:tc>
          <w:tcPr>
            <w:tcW w:w="1814" w:type="dxa"/>
            <w:tcBorders>
              <w:top w:val="single" w:sz="4" w:space="0" w:color="auto"/>
              <w:bottom w:val="single" w:sz="4" w:space="0" w:color="auto"/>
            </w:tcBorders>
            <w:shd w:val="clear" w:color="auto" w:fill="auto"/>
          </w:tcPr>
          <w:p w14:paraId="1548429E" w14:textId="77777777" w:rsidR="00285B13" w:rsidRPr="00CD4E37" w:rsidRDefault="00285B13" w:rsidP="00387A3F">
            <w:pPr>
              <w:autoSpaceDE w:val="0"/>
              <w:autoSpaceDN w:val="0"/>
              <w:adjustRightInd w:val="0"/>
              <w:jc w:val="center"/>
              <w:rPr>
                <w:szCs w:val="22"/>
                <w:lang w:val="nl-NL"/>
              </w:rPr>
            </w:pPr>
            <w:r w:rsidRPr="00CD4E37">
              <w:rPr>
                <w:szCs w:val="22"/>
                <w:lang w:val="nl-NL"/>
              </w:rPr>
              <w:t>2,3</w:t>
            </w:r>
          </w:p>
        </w:tc>
        <w:tc>
          <w:tcPr>
            <w:tcW w:w="1844" w:type="dxa"/>
            <w:tcBorders>
              <w:top w:val="single" w:sz="4" w:space="0" w:color="auto"/>
              <w:bottom w:val="single" w:sz="4" w:space="0" w:color="auto"/>
            </w:tcBorders>
            <w:shd w:val="clear" w:color="auto" w:fill="auto"/>
          </w:tcPr>
          <w:p w14:paraId="10306F68"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59846639" w14:textId="77777777" w:rsidTr="001C6ECA">
        <w:trPr>
          <w:cantSplit/>
        </w:trPr>
        <w:tc>
          <w:tcPr>
            <w:tcW w:w="3595" w:type="dxa"/>
            <w:tcBorders>
              <w:top w:val="single" w:sz="4" w:space="0" w:color="auto"/>
              <w:bottom w:val="single" w:sz="4" w:space="0" w:color="auto"/>
            </w:tcBorders>
            <w:shd w:val="clear" w:color="auto" w:fill="auto"/>
          </w:tcPr>
          <w:p w14:paraId="73609CCA" w14:textId="77777777" w:rsidR="00285B13" w:rsidRPr="00CD4E37" w:rsidRDefault="00285B13" w:rsidP="00387A3F">
            <w:pPr>
              <w:rPr>
                <w:szCs w:val="22"/>
                <w:lang w:val="nl-NL"/>
              </w:rPr>
            </w:pPr>
            <w:r w:rsidRPr="00CD4E37">
              <w:rPr>
                <w:szCs w:val="22"/>
                <w:lang w:val="nl-NL"/>
              </w:rPr>
              <w:t>Braken</w:t>
            </w:r>
          </w:p>
        </w:tc>
        <w:tc>
          <w:tcPr>
            <w:tcW w:w="1814" w:type="dxa"/>
            <w:tcBorders>
              <w:top w:val="single" w:sz="4" w:space="0" w:color="auto"/>
              <w:bottom w:val="single" w:sz="4" w:space="0" w:color="auto"/>
            </w:tcBorders>
            <w:shd w:val="clear" w:color="auto" w:fill="auto"/>
          </w:tcPr>
          <w:p w14:paraId="5C6BD988" w14:textId="77777777" w:rsidR="00285B13" w:rsidRPr="00CD4E37" w:rsidRDefault="00285B13" w:rsidP="00387A3F">
            <w:pPr>
              <w:autoSpaceDE w:val="0"/>
              <w:autoSpaceDN w:val="0"/>
              <w:adjustRightInd w:val="0"/>
              <w:jc w:val="center"/>
              <w:rPr>
                <w:szCs w:val="22"/>
                <w:lang w:val="nl-NL"/>
              </w:rPr>
            </w:pPr>
            <w:r w:rsidRPr="00CD4E37">
              <w:rPr>
                <w:szCs w:val="22"/>
                <w:lang w:val="nl-NL"/>
              </w:rPr>
              <w:t>24,5</w:t>
            </w:r>
          </w:p>
        </w:tc>
        <w:tc>
          <w:tcPr>
            <w:tcW w:w="1814" w:type="dxa"/>
            <w:tcBorders>
              <w:top w:val="single" w:sz="4" w:space="0" w:color="auto"/>
              <w:bottom w:val="single" w:sz="4" w:space="0" w:color="auto"/>
            </w:tcBorders>
            <w:shd w:val="clear" w:color="auto" w:fill="auto"/>
          </w:tcPr>
          <w:p w14:paraId="308522D4" w14:textId="77777777" w:rsidR="00285B13" w:rsidRPr="00CD4E37" w:rsidRDefault="00285B13" w:rsidP="00387A3F">
            <w:pPr>
              <w:autoSpaceDE w:val="0"/>
              <w:autoSpaceDN w:val="0"/>
              <w:adjustRightInd w:val="0"/>
              <w:jc w:val="center"/>
              <w:rPr>
                <w:szCs w:val="22"/>
                <w:lang w:val="nl-NL"/>
              </w:rPr>
            </w:pPr>
            <w:r w:rsidRPr="00CD4E37">
              <w:rPr>
                <w:szCs w:val="22"/>
                <w:lang w:val="nl-NL"/>
              </w:rPr>
              <w:t>0</w:t>
            </w:r>
          </w:p>
        </w:tc>
        <w:tc>
          <w:tcPr>
            <w:tcW w:w="1844" w:type="dxa"/>
            <w:tcBorders>
              <w:top w:val="single" w:sz="4" w:space="0" w:color="auto"/>
              <w:bottom w:val="single" w:sz="4" w:space="0" w:color="auto"/>
            </w:tcBorders>
            <w:shd w:val="clear" w:color="auto" w:fill="auto"/>
          </w:tcPr>
          <w:p w14:paraId="7E95F27B"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592E4FDF" w14:textId="77777777" w:rsidTr="001C6ECA">
        <w:trPr>
          <w:cantSplit/>
        </w:trPr>
        <w:tc>
          <w:tcPr>
            <w:tcW w:w="3595" w:type="dxa"/>
            <w:tcBorders>
              <w:top w:val="single" w:sz="4" w:space="0" w:color="auto"/>
            </w:tcBorders>
            <w:shd w:val="clear" w:color="auto" w:fill="auto"/>
          </w:tcPr>
          <w:p w14:paraId="47527731" w14:textId="77777777" w:rsidR="00285B13" w:rsidRPr="00CD4E37" w:rsidRDefault="00285B13" w:rsidP="00387A3F">
            <w:pPr>
              <w:rPr>
                <w:lang w:val="nl-NL"/>
              </w:rPr>
            </w:pPr>
            <w:r w:rsidRPr="00CD4E37">
              <w:rPr>
                <w:szCs w:val="22"/>
                <w:lang w:val="nl-NL"/>
              </w:rPr>
              <w:t>Dyspepsie</w:t>
            </w:r>
          </w:p>
        </w:tc>
        <w:tc>
          <w:tcPr>
            <w:tcW w:w="1814" w:type="dxa"/>
            <w:tcBorders>
              <w:top w:val="single" w:sz="4" w:space="0" w:color="auto"/>
            </w:tcBorders>
            <w:shd w:val="clear" w:color="auto" w:fill="auto"/>
          </w:tcPr>
          <w:p w14:paraId="41B36E83" w14:textId="77777777" w:rsidR="00285B13" w:rsidRPr="00CD4E37" w:rsidRDefault="00285B13" w:rsidP="00387A3F">
            <w:pPr>
              <w:autoSpaceDE w:val="0"/>
              <w:autoSpaceDN w:val="0"/>
              <w:adjustRightInd w:val="0"/>
              <w:jc w:val="center"/>
              <w:rPr>
                <w:lang w:val="nl-NL"/>
              </w:rPr>
            </w:pPr>
            <w:r w:rsidRPr="00CD4E37">
              <w:rPr>
                <w:szCs w:val="22"/>
                <w:lang w:val="nl-NL"/>
              </w:rPr>
              <w:t>11,3</w:t>
            </w:r>
          </w:p>
        </w:tc>
        <w:tc>
          <w:tcPr>
            <w:tcW w:w="1814" w:type="dxa"/>
            <w:tcBorders>
              <w:top w:val="single" w:sz="4" w:space="0" w:color="auto"/>
            </w:tcBorders>
            <w:shd w:val="clear" w:color="auto" w:fill="auto"/>
          </w:tcPr>
          <w:p w14:paraId="1BA37E05" w14:textId="77777777" w:rsidR="00285B13" w:rsidRPr="00CD4E37" w:rsidRDefault="00285B13" w:rsidP="00387A3F">
            <w:pPr>
              <w:autoSpaceDE w:val="0"/>
              <w:autoSpaceDN w:val="0"/>
              <w:adjustRightInd w:val="0"/>
              <w:jc w:val="center"/>
              <w:rPr>
                <w:lang w:val="nl-NL"/>
              </w:rPr>
            </w:pPr>
            <w:r w:rsidRPr="00CD4E37">
              <w:rPr>
                <w:szCs w:val="22"/>
                <w:lang w:val="nl-NL"/>
              </w:rPr>
              <w:t>0,4</w:t>
            </w:r>
          </w:p>
        </w:tc>
        <w:tc>
          <w:tcPr>
            <w:tcW w:w="1844" w:type="dxa"/>
            <w:tcBorders>
              <w:top w:val="single" w:sz="4" w:space="0" w:color="auto"/>
            </w:tcBorders>
            <w:shd w:val="clear" w:color="auto" w:fill="auto"/>
          </w:tcPr>
          <w:p w14:paraId="6A2644E7"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01B4817F" w14:textId="77777777" w:rsidTr="00387A3F">
        <w:trPr>
          <w:cantSplit/>
        </w:trPr>
        <w:tc>
          <w:tcPr>
            <w:tcW w:w="9067" w:type="dxa"/>
            <w:gridSpan w:val="4"/>
          </w:tcPr>
          <w:p w14:paraId="60BB04D0"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Lever- en galaandoeningen</w:t>
            </w:r>
          </w:p>
        </w:tc>
      </w:tr>
      <w:tr w:rsidR="00285B13" w:rsidRPr="00CD4E37" w14:paraId="61666676" w14:textId="77777777" w:rsidTr="00387A3F">
        <w:trPr>
          <w:cantSplit/>
        </w:trPr>
        <w:tc>
          <w:tcPr>
            <w:tcW w:w="3595" w:type="dxa"/>
          </w:tcPr>
          <w:p w14:paraId="04D8A820" w14:textId="77777777" w:rsidR="00285B13" w:rsidRPr="00CD4E37" w:rsidRDefault="00285B13" w:rsidP="00387A3F">
            <w:pPr>
              <w:tabs>
                <w:tab w:val="clear" w:pos="567"/>
              </w:tabs>
              <w:spacing w:line="240" w:lineRule="auto"/>
              <w:contextualSpacing/>
              <w:rPr>
                <w:b/>
                <w:szCs w:val="22"/>
                <w:lang w:val="nl-NL"/>
              </w:rPr>
            </w:pPr>
            <w:r w:rsidRPr="00CD4E37">
              <w:rPr>
                <w:szCs w:val="22"/>
                <w:lang w:val="nl-NL"/>
              </w:rPr>
              <w:t>ALAT verhoogd</w:t>
            </w:r>
            <w:r w:rsidRPr="00CD4E37">
              <w:rPr>
                <w:szCs w:val="22"/>
                <w:vertAlign w:val="superscript"/>
                <w:lang w:val="nl-NL"/>
              </w:rPr>
              <w:t>e</w:t>
            </w:r>
          </w:p>
        </w:tc>
        <w:tc>
          <w:tcPr>
            <w:tcW w:w="1814" w:type="dxa"/>
          </w:tcPr>
          <w:p w14:paraId="06B695F1" w14:textId="77777777" w:rsidR="00285B13" w:rsidRPr="00CD4E37" w:rsidRDefault="00285B13" w:rsidP="00387A3F">
            <w:pPr>
              <w:keepNext/>
              <w:keepLines/>
              <w:tabs>
                <w:tab w:val="clear" w:pos="567"/>
              </w:tabs>
              <w:spacing w:line="240" w:lineRule="auto"/>
              <w:contextualSpacing/>
              <w:jc w:val="center"/>
              <w:rPr>
                <w:bCs/>
                <w:szCs w:val="22"/>
                <w:lang w:val="nl-NL"/>
              </w:rPr>
            </w:pPr>
            <w:r w:rsidRPr="00CD4E37">
              <w:rPr>
                <w:szCs w:val="22"/>
                <w:lang w:val="nl-NL"/>
              </w:rPr>
              <w:t>58,9</w:t>
            </w:r>
          </w:p>
        </w:tc>
        <w:tc>
          <w:tcPr>
            <w:tcW w:w="1814" w:type="dxa"/>
          </w:tcPr>
          <w:p w14:paraId="25A2FF82" w14:textId="77777777" w:rsidR="00285B13" w:rsidRPr="00CD4E37" w:rsidRDefault="00285B13" w:rsidP="00387A3F">
            <w:pPr>
              <w:keepNext/>
              <w:keepLines/>
              <w:tabs>
                <w:tab w:val="clear" w:pos="567"/>
              </w:tabs>
              <w:spacing w:line="240" w:lineRule="auto"/>
              <w:contextualSpacing/>
              <w:jc w:val="center"/>
              <w:rPr>
                <w:bCs/>
                <w:szCs w:val="22"/>
                <w:lang w:val="nl-NL"/>
              </w:rPr>
            </w:pPr>
            <w:r w:rsidRPr="00CD4E37">
              <w:rPr>
                <w:szCs w:val="22"/>
                <w:lang w:val="nl-NL"/>
              </w:rPr>
              <w:t>12,1</w:t>
            </w:r>
          </w:p>
        </w:tc>
        <w:tc>
          <w:tcPr>
            <w:tcW w:w="1844" w:type="dxa"/>
          </w:tcPr>
          <w:p w14:paraId="7930D4F3" w14:textId="77777777" w:rsidR="00285B13" w:rsidRPr="00CD4E37" w:rsidRDefault="00285B13" w:rsidP="00387A3F">
            <w:pPr>
              <w:keepNext/>
              <w:keepLines/>
              <w:tabs>
                <w:tab w:val="clear" w:pos="567"/>
              </w:tabs>
              <w:spacing w:line="240" w:lineRule="auto"/>
              <w:contextualSpacing/>
              <w:jc w:val="center"/>
              <w:rPr>
                <w:b/>
                <w:szCs w:val="22"/>
                <w:lang w:val="nl-NL"/>
              </w:rPr>
            </w:pPr>
            <w:r w:rsidRPr="00CD4E37">
              <w:rPr>
                <w:szCs w:val="22"/>
                <w:lang w:val="nl-NL"/>
              </w:rPr>
              <w:t>Zeer vaak</w:t>
            </w:r>
          </w:p>
        </w:tc>
      </w:tr>
      <w:tr w:rsidR="00285B13" w:rsidRPr="00CD4E37" w14:paraId="2C28D826" w14:textId="77777777" w:rsidTr="00387A3F">
        <w:trPr>
          <w:cantSplit/>
        </w:trPr>
        <w:tc>
          <w:tcPr>
            <w:tcW w:w="9067" w:type="dxa"/>
            <w:gridSpan w:val="4"/>
          </w:tcPr>
          <w:p w14:paraId="3075A432"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Algemene aandoeningen en toedieningsplaatsstoornissen</w:t>
            </w:r>
          </w:p>
        </w:tc>
      </w:tr>
      <w:tr w:rsidR="00285B13" w:rsidRPr="00CD4E37" w14:paraId="0461EBBA" w14:textId="77777777" w:rsidTr="00387A3F">
        <w:trPr>
          <w:cantSplit/>
        </w:trPr>
        <w:tc>
          <w:tcPr>
            <w:tcW w:w="3595" w:type="dxa"/>
            <w:shd w:val="clear" w:color="auto" w:fill="auto"/>
            <w:vAlign w:val="bottom"/>
          </w:tcPr>
          <w:p w14:paraId="35F8F64F" w14:textId="77777777" w:rsidR="00285B13" w:rsidRPr="00CD4E37" w:rsidRDefault="00285B13" w:rsidP="00387A3F">
            <w:pPr>
              <w:rPr>
                <w:szCs w:val="22"/>
                <w:highlight w:val="lightGray"/>
                <w:lang w:val="nl-NL"/>
              </w:rPr>
            </w:pPr>
            <w:r w:rsidRPr="00CD4E37">
              <w:rPr>
                <w:szCs w:val="22"/>
                <w:lang w:val="nl-NL"/>
              </w:rPr>
              <w:t>Oedeem</w:t>
            </w:r>
            <w:r w:rsidRPr="00CD4E37">
              <w:rPr>
                <w:szCs w:val="22"/>
                <w:vertAlign w:val="superscript"/>
                <w:lang w:val="nl-NL"/>
              </w:rPr>
              <w:t>j</w:t>
            </w:r>
          </w:p>
        </w:tc>
        <w:tc>
          <w:tcPr>
            <w:tcW w:w="1814" w:type="dxa"/>
            <w:shd w:val="clear" w:color="auto" w:fill="auto"/>
            <w:vAlign w:val="bottom"/>
          </w:tcPr>
          <w:p w14:paraId="2B0DF9A3"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18,9</w:t>
            </w:r>
          </w:p>
        </w:tc>
        <w:tc>
          <w:tcPr>
            <w:tcW w:w="1814" w:type="dxa"/>
            <w:shd w:val="clear" w:color="auto" w:fill="auto"/>
            <w:vAlign w:val="bottom"/>
          </w:tcPr>
          <w:p w14:paraId="522E99E3"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0,4</w:t>
            </w:r>
          </w:p>
        </w:tc>
        <w:tc>
          <w:tcPr>
            <w:tcW w:w="1844" w:type="dxa"/>
            <w:shd w:val="clear" w:color="auto" w:fill="auto"/>
          </w:tcPr>
          <w:p w14:paraId="60D271BB"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r w:rsidR="00285B13" w:rsidRPr="00CD4E37" w14:paraId="1065D7DE" w14:textId="77777777" w:rsidTr="00387A3F">
        <w:trPr>
          <w:cantSplit/>
        </w:trPr>
        <w:tc>
          <w:tcPr>
            <w:tcW w:w="9067" w:type="dxa"/>
            <w:gridSpan w:val="4"/>
          </w:tcPr>
          <w:p w14:paraId="3B9CFB6A" w14:textId="77777777" w:rsidR="00285B13" w:rsidRPr="00CD4E37" w:rsidRDefault="00285B13" w:rsidP="00387A3F">
            <w:pPr>
              <w:keepNext/>
              <w:keepLines/>
              <w:tabs>
                <w:tab w:val="clear" w:pos="567"/>
              </w:tabs>
              <w:spacing w:line="240" w:lineRule="auto"/>
              <w:contextualSpacing/>
              <w:rPr>
                <w:b/>
                <w:szCs w:val="22"/>
                <w:lang w:val="nl-NL"/>
              </w:rPr>
            </w:pPr>
            <w:r w:rsidRPr="00CD4E37">
              <w:rPr>
                <w:b/>
                <w:bCs/>
                <w:szCs w:val="22"/>
                <w:lang w:val="nl-NL"/>
              </w:rPr>
              <w:t>Onderzoeken</w:t>
            </w:r>
          </w:p>
        </w:tc>
      </w:tr>
      <w:tr w:rsidR="00285B13" w:rsidRPr="00CD4E37" w14:paraId="6C2E3EB9" w14:textId="77777777" w:rsidTr="00387A3F">
        <w:trPr>
          <w:cantSplit/>
        </w:trPr>
        <w:tc>
          <w:tcPr>
            <w:tcW w:w="3595" w:type="dxa"/>
            <w:shd w:val="clear" w:color="auto" w:fill="auto"/>
          </w:tcPr>
          <w:p w14:paraId="2E1728A1" w14:textId="77777777" w:rsidR="00285B13" w:rsidRPr="00CD4E37" w:rsidRDefault="00285B13" w:rsidP="00387A3F">
            <w:pPr>
              <w:spacing w:line="240" w:lineRule="auto"/>
              <w:rPr>
                <w:szCs w:val="22"/>
                <w:vertAlign w:val="superscript"/>
                <w:lang w:val="nl-NL"/>
              </w:rPr>
            </w:pPr>
            <w:r w:rsidRPr="00CD4E37">
              <w:rPr>
                <w:szCs w:val="22"/>
                <w:lang w:val="nl-NL"/>
              </w:rPr>
              <w:t>Elektrocardiogram QT verlengd</w:t>
            </w:r>
            <w:r w:rsidRPr="00CD4E37">
              <w:rPr>
                <w:szCs w:val="22"/>
                <w:vertAlign w:val="superscript"/>
                <w:lang w:val="nl-NL"/>
              </w:rPr>
              <w:t>k</w:t>
            </w:r>
          </w:p>
        </w:tc>
        <w:tc>
          <w:tcPr>
            <w:tcW w:w="1814" w:type="dxa"/>
            <w:shd w:val="clear" w:color="auto" w:fill="auto"/>
          </w:tcPr>
          <w:p w14:paraId="497E7F2E"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14,0</w:t>
            </w:r>
          </w:p>
        </w:tc>
        <w:tc>
          <w:tcPr>
            <w:tcW w:w="1814" w:type="dxa"/>
            <w:shd w:val="clear" w:color="auto" w:fill="auto"/>
          </w:tcPr>
          <w:p w14:paraId="14E1E79F" w14:textId="77777777" w:rsidR="00285B13" w:rsidRPr="00CD4E37" w:rsidRDefault="00285B13" w:rsidP="00387A3F">
            <w:pPr>
              <w:keepNext/>
              <w:keepLines/>
              <w:tabs>
                <w:tab w:val="clear" w:pos="567"/>
              </w:tabs>
              <w:spacing w:line="240" w:lineRule="auto"/>
              <w:contextualSpacing/>
              <w:jc w:val="center"/>
              <w:rPr>
                <w:szCs w:val="22"/>
                <w:highlight w:val="lightGray"/>
                <w:lang w:val="nl-NL"/>
              </w:rPr>
            </w:pPr>
            <w:r w:rsidRPr="00CD4E37">
              <w:rPr>
                <w:szCs w:val="22"/>
                <w:lang w:val="nl-NL"/>
              </w:rPr>
              <w:t>3,0</w:t>
            </w:r>
          </w:p>
        </w:tc>
        <w:tc>
          <w:tcPr>
            <w:tcW w:w="1844" w:type="dxa"/>
            <w:shd w:val="clear" w:color="auto" w:fill="auto"/>
          </w:tcPr>
          <w:p w14:paraId="397F856B" w14:textId="77777777" w:rsidR="00285B13" w:rsidRPr="00CD4E37" w:rsidRDefault="00285B13" w:rsidP="00387A3F">
            <w:pPr>
              <w:keepNext/>
              <w:keepLines/>
              <w:tabs>
                <w:tab w:val="clear" w:pos="567"/>
              </w:tabs>
              <w:spacing w:line="240" w:lineRule="auto"/>
              <w:contextualSpacing/>
              <w:jc w:val="center"/>
              <w:rPr>
                <w:szCs w:val="22"/>
                <w:lang w:val="nl-NL"/>
              </w:rPr>
            </w:pPr>
            <w:r w:rsidRPr="00CD4E37">
              <w:rPr>
                <w:szCs w:val="22"/>
                <w:lang w:val="nl-NL"/>
              </w:rPr>
              <w:t>Zeer vaak</w:t>
            </w:r>
          </w:p>
        </w:tc>
      </w:tr>
    </w:tbl>
    <w:bookmarkEnd w:id="25"/>
    <w:p w14:paraId="45292BC7" w14:textId="38FCAD45" w:rsidR="00285B13" w:rsidRPr="00CD4E37" w:rsidRDefault="00285B13" w:rsidP="00891282">
      <w:pPr>
        <w:tabs>
          <w:tab w:val="clear" w:pos="567"/>
        </w:tabs>
        <w:spacing w:line="240" w:lineRule="auto"/>
        <w:rPr>
          <w:sz w:val="20"/>
          <w:lang w:val="nl-NL"/>
        </w:rPr>
      </w:pPr>
      <w:r w:rsidRPr="00CD4E37">
        <w:rPr>
          <w:sz w:val="20"/>
          <w:lang w:val="nl-NL"/>
        </w:rPr>
        <w:t>Standaardchemotherapie = cytarabine (cytosine</w:t>
      </w:r>
      <w:r w:rsidR="00E05B15">
        <w:rPr>
          <w:sz w:val="20"/>
          <w:lang w:val="nl-NL"/>
        </w:rPr>
        <w:t>-</w:t>
      </w:r>
      <w:r w:rsidRPr="00CD4E37">
        <w:rPr>
          <w:sz w:val="20"/>
          <w:lang w:val="nl-NL"/>
        </w:rPr>
        <w:t>arabinoside) en antracycline (daunorubicine of idarubicine).</w:t>
      </w:r>
    </w:p>
    <w:p w14:paraId="578152C6" w14:textId="3FED258F" w:rsidR="00285B13" w:rsidRPr="00CD4E37" w:rsidRDefault="00285B13" w:rsidP="00891282">
      <w:pPr>
        <w:tabs>
          <w:tab w:val="clear" w:pos="567"/>
        </w:tabs>
        <w:spacing w:line="240" w:lineRule="auto"/>
        <w:ind w:left="142" w:hanging="142"/>
        <w:rPr>
          <w:sz w:val="20"/>
          <w:lang w:val="nl-NL"/>
        </w:rPr>
      </w:pPr>
      <w:bookmarkStart w:id="26" w:name="_Hlk100951892"/>
      <w:r w:rsidRPr="00CD4E37">
        <w:rPr>
          <w:sz w:val="20"/>
          <w:vertAlign w:val="superscript"/>
          <w:lang w:val="nl-NL"/>
        </w:rPr>
        <w:t xml:space="preserve">a </w:t>
      </w:r>
      <w:r w:rsidRPr="00CD4E37">
        <w:rPr>
          <w:sz w:val="20"/>
          <w:lang w:val="nl-NL"/>
        </w:rPr>
        <w:t xml:space="preserve">Infecties van de bovenste luchtwegen omvatten </w:t>
      </w:r>
      <w:r w:rsidR="006F00E4">
        <w:rPr>
          <w:sz w:val="20"/>
          <w:lang w:val="nl-NL"/>
        </w:rPr>
        <w:t>bovensteluchtweginfectie</w:t>
      </w:r>
      <w:r w:rsidRPr="00CD4E37">
        <w:rPr>
          <w:sz w:val="20"/>
          <w:lang w:val="nl-NL"/>
        </w:rPr>
        <w:t xml:space="preserve">, nasofaryngitis, sinusitis, </w:t>
      </w:r>
      <w:r w:rsidR="006F00E4">
        <w:rPr>
          <w:sz w:val="20"/>
          <w:lang w:val="nl-NL"/>
        </w:rPr>
        <w:t>rinitis</w:t>
      </w:r>
      <w:r w:rsidRPr="00CD4E37">
        <w:rPr>
          <w:sz w:val="20"/>
          <w:lang w:val="nl-NL"/>
        </w:rPr>
        <w:t>, tonsillitis, laryngofaryngitis, faryngitis bacterieel, faryngotonsillitis, virale faryngitis en acute sinusitis.</w:t>
      </w:r>
    </w:p>
    <w:p w14:paraId="17515BD6"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b</w:t>
      </w:r>
      <w:r w:rsidRPr="00CD4E37">
        <w:rPr>
          <w:sz w:val="20"/>
          <w:lang w:val="nl-NL"/>
        </w:rPr>
        <w:t xml:space="preserve"> Schimmelinfecties omvatten orale candidiasis, bronchopulmonaire aspergillose, schimmelinfectie, vulvovaginale candidiasis, Aspergillus-infectie, infectie van onderste luchtwegen door schimmels, orale schimmelinfectie, Candida-infectie, huidinfectie door schimmels, mucormycose, orofaryngeale candidiasis, </w:t>
      </w:r>
      <w:r w:rsidRPr="00CD4E37">
        <w:rPr>
          <w:sz w:val="20"/>
          <w:lang w:val="nl-NL"/>
        </w:rPr>
        <w:lastRenderedPageBreak/>
        <w:t>aspergillose oraal, leverinfectie door schimmels, lever-miltcandidiase, onychomycose, fungemie, systemische Candida en systemische mycose.</w:t>
      </w:r>
    </w:p>
    <w:p w14:paraId="273CD56B"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c</w:t>
      </w:r>
      <w:r w:rsidRPr="00CD4E37">
        <w:rPr>
          <w:sz w:val="20"/>
          <w:lang w:val="nl-NL"/>
        </w:rPr>
        <w:t xml:space="preserve"> Herpesinfecties omvatten orale herpes, herpes zoster, herpesvirusinfecties, herpes simplex, humaan herpesvirus-6-infectie, herpes genitalis en herpes dermatitis.</w:t>
      </w:r>
    </w:p>
    <w:p w14:paraId="63D437F2" w14:textId="77777777" w:rsidR="00285B13" w:rsidRPr="00CD4E37" w:rsidRDefault="00285B13" w:rsidP="00891282">
      <w:pPr>
        <w:tabs>
          <w:tab w:val="clear" w:pos="567"/>
        </w:tabs>
        <w:spacing w:line="240" w:lineRule="auto"/>
        <w:ind w:left="142" w:hanging="142"/>
        <w:rPr>
          <w:sz w:val="20"/>
          <w:lang w:val="nl-NL"/>
        </w:rPr>
      </w:pPr>
      <w:bookmarkStart w:id="27" w:name="_Hlk103345330"/>
      <w:r w:rsidRPr="00CD4E37">
        <w:rPr>
          <w:sz w:val="20"/>
          <w:vertAlign w:val="superscript"/>
          <w:lang w:val="nl-NL"/>
        </w:rPr>
        <w:t>d</w:t>
      </w:r>
      <w:r w:rsidRPr="00CD4E37">
        <w:rPr>
          <w:sz w:val="20"/>
          <w:lang w:val="nl-NL"/>
        </w:rPr>
        <w:t xml:space="preserve"> Bacteriëmie omvat bacteriëmie, Klebsiella-bacteriëmie, stafylokokkenbacteriëmie, enterokokkenbacteriëmie, streptokokkenbacteriëmie, hulpmiddelgerelateerde bacteriëmie, Escherichia-bacteriëmie, Corynebacterium-bacteriëmie en Pseudomonas-bacteriëmie</w:t>
      </w:r>
      <w:bookmarkEnd w:id="27"/>
      <w:r w:rsidRPr="00CD4E37">
        <w:rPr>
          <w:sz w:val="20"/>
          <w:lang w:val="nl-NL"/>
        </w:rPr>
        <w:t>.</w:t>
      </w:r>
    </w:p>
    <w:p w14:paraId="5F732317"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e</w:t>
      </w:r>
      <w:r w:rsidRPr="00CD4E37">
        <w:rPr>
          <w:sz w:val="20"/>
          <w:lang w:val="nl-NL"/>
        </w:rPr>
        <w:t xml:space="preserve"> Termen gebaseerd op laboratoriumgegevens.</w:t>
      </w:r>
    </w:p>
    <w:p w14:paraId="5F1623F0"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 xml:space="preserve">f </w:t>
      </w:r>
      <w:r w:rsidRPr="00CD4E37">
        <w:rPr>
          <w:sz w:val="20"/>
          <w:lang w:val="nl-NL"/>
        </w:rPr>
        <w:t>Hoofdpijn omvat hoofdpijn, spanningshoofdpijn en migraine.</w:t>
      </w:r>
    </w:p>
    <w:p w14:paraId="6F6D8E51" w14:textId="77777777" w:rsidR="00285B13" w:rsidRPr="00CD4E37" w:rsidRDefault="00285B13" w:rsidP="00891282">
      <w:pPr>
        <w:tabs>
          <w:tab w:val="clear" w:pos="567"/>
        </w:tabs>
        <w:spacing w:line="240" w:lineRule="auto"/>
        <w:ind w:left="142" w:hanging="142"/>
        <w:rPr>
          <w:sz w:val="20"/>
          <w:lang w:val="nl-NL"/>
        </w:rPr>
      </w:pPr>
      <w:bookmarkStart w:id="28" w:name="_Hlk103345506"/>
      <w:r w:rsidRPr="00CD4E37">
        <w:rPr>
          <w:sz w:val="20"/>
          <w:vertAlign w:val="superscript"/>
          <w:lang w:val="nl-NL"/>
        </w:rPr>
        <w:t xml:space="preserve">g </w:t>
      </w:r>
      <w:r w:rsidRPr="00CD4E37">
        <w:rPr>
          <w:sz w:val="20"/>
          <w:lang w:val="nl-NL"/>
        </w:rPr>
        <w:t>Bij één proefpersoon deden zich twee voorvallen voor (ventrikelfibrilleren en hartstilstand)</w:t>
      </w:r>
      <w:bookmarkEnd w:id="28"/>
      <w:r w:rsidRPr="00CD4E37">
        <w:rPr>
          <w:sz w:val="20"/>
          <w:lang w:val="nl-NL"/>
        </w:rPr>
        <w:t>.</w:t>
      </w:r>
    </w:p>
    <w:p w14:paraId="58F9BB5A"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 xml:space="preserve">h </w:t>
      </w:r>
      <w:r w:rsidRPr="00CD4E37">
        <w:rPr>
          <w:sz w:val="20"/>
          <w:lang w:val="nl-NL"/>
        </w:rPr>
        <w:t>Diarree omvat diarree en hemorragische diarree.</w:t>
      </w:r>
    </w:p>
    <w:p w14:paraId="7F954455"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 xml:space="preserve">i </w:t>
      </w:r>
      <w:r w:rsidRPr="00CD4E37">
        <w:rPr>
          <w:sz w:val="20"/>
          <w:lang w:val="nl-NL"/>
        </w:rPr>
        <w:t>Buikpijn omvat buikpijn, bovenbuikpijn, abdominaal ongemak, pijn laag in de onderbuik en gastro-intestinale pijn.</w:t>
      </w:r>
    </w:p>
    <w:p w14:paraId="1C6B6C83"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j</w:t>
      </w:r>
      <w:r w:rsidRPr="00CD4E37">
        <w:rPr>
          <w:sz w:val="20"/>
          <w:lang w:val="nl-NL"/>
        </w:rPr>
        <w:t xml:space="preserve"> Oedeem omvat oedeem perifeer, gezichtsoedeem, oedeem, vochtopstapeling, gegeneraliseerd oedeem, perifere zwelling, gelokaliseerd oedeem en zwelling van aangezicht.</w:t>
      </w:r>
    </w:p>
    <w:p w14:paraId="602EAC56" w14:textId="77777777" w:rsidR="00285B13" w:rsidRPr="00CD4E37" w:rsidRDefault="00285B13" w:rsidP="00891282">
      <w:pPr>
        <w:tabs>
          <w:tab w:val="clear" w:pos="567"/>
        </w:tabs>
        <w:spacing w:line="240" w:lineRule="auto"/>
        <w:ind w:left="142" w:hanging="142"/>
        <w:rPr>
          <w:sz w:val="20"/>
          <w:lang w:val="nl-NL"/>
        </w:rPr>
      </w:pPr>
      <w:r w:rsidRPr="00CD4E37">
        <w:rPr>
          <w:sz w:val="20"/>
          <w:vertAlign w:val="superscript"/>
          <w:lang w:val="nl-NL"/>
        </w:rPr>
        <w:t>k</w:t>
      </w:r>
      <w:r w:rsidRPr="00CD4E37">
        <w:rPr>
          <w:sz w:val="20"/>
          <w:lang w:val="nl-NL"/>
        </w:rPr>
        <w:t xml:space="preserve"> Elektrocardiogram QT verlengd omvat elektrocardiogram QT verlengd en elektrocardiogram QT-interval abnormaal.</w:t>
      </w:r>
    </w:p>
    <w:p w14:paraId="79965BC5" w14:textId="77777777" w:rsidR="00285B13" w:rsidRPr="00CD4E37" w:rsidRDefault="00285B13" w:rsidP="00891282">
      <w:pPr>
        <w:tabs>
          <w:tab w:val="clear" w:pos="567"/>
        </w:tabs>
        <w:spacing w:line="240" w:lineRule="auto"/>
        <w:rPr>
          <w:szCs w:val="22"/>
          <w:lang w:val="nl-NL"/>
        </w:rPr>
      </w:pPr>
      <w:bookmarkStart w:id="29" w:name="_Hlk102676796"/>
      <w:bookmarkEnd w:id="26"/>
    </w:p>
    <w:bookmarkEnd w:id="29"/>
    <w:p w14:paraId="184B906D"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Beschrijving van geselecteerde bijwerkingen</w:t>
      </w:r>
    </w:p>
    <w:p w14:paraId="25F062D1" w14:textId="77777777" w:rsidR="00285B13" w:rsidRPr="00CD4E37" w:rsidRDefault="00285B13" w:rsidP="00891282">
      <w:pPr>
        <w:keepNext/>
        <w:tabs>
          <w:tab w:val="clear" w:pos="567"/>
        </w:tabs>
        <w:spacing w:line="240" w:lineRule="auto"/>
        <w:rPr>
          <w:szCs w:val="22"/>
          <w:lang w:val="nl-NL"/>
        </w:rPr>
      </w:pPr>
    </w:p>
    <w:p w14:paraId="120BAEC4" w14:textId="77777777" w:rsidR="00285B13" w:rsidRPr="00CD4E37" w:rsidRDefault="00285B13" w:rsidP="00891282">
      <w:pPr>
        <w:keepNext/>
        <w:tabs>
          <w:tab w:val="clear" w:pos="567"/>
        </w:tabs>
        <w:spacing w:line="240" w:lineRule="auto"/>
        <w:rPr>
          <w:i/>
          <w:iCs/>
          <w:szCs w:val="22"/>
          <w:lang w:val="nl-NL"/>
        </w:rPr>
      </w:pPr>
      <w:bookmarkStart w:id="30" w:name="_Hlk102677132"/>
      <w:r w:rsidRPr="00CD4E37">
        <w:rPr>
          <w:i/>
          <w:iCs/>
          <w:szCs w:val="22"/>
          <w:lang w:val="nl-NL"/>
        </w:rPr>
        <w:t>Hartaandoeningen</w:t>
      </w:r>
    </w:p>
    <w:bookmarkEnd w:id="30"/>
    <w:p w14:paraId="653C4993" w14:textId="2CEA1289" w:rsidR="00285B13" w:rsidRPr="00CD4E37" w:rsidRDefault="00285B13" w:rsidP="00891282">
      <w:pPr>
        <w:tabs>
          <w:tab w:val="clear" w:pos="567"/>
        </w:tabs>
        <w:spacing w:line="240" w:lineRule="auto"/>
        <w:rPr>
          <w:szCs w:val="22"/>
          <w:lang w:val="nl-NL"/>
        </w:rPr>
      </w:pPr>
      <w:r w:rsidRPr="00CD4E37">
        <w:rPr>
          <w:szCs w:val="22"/>
          <w:lang w:val="nl-NL"/>
        </w:rPr>
        <w:t xml:space="preserve">Quizartinib verlengt het QT-interval op het ECG. Tijdens de behandeling optredende bijwerkingen in de vorm van verlenging van het QT-interval van welke graad dan ook werden gemeld bij 14,0% van de met VANFLYTA behandelde patiënten en 3,0% van de patiënten kreeg bijwerkingen van graad 3 of ernstiger. Verlenging van het QT-interval ging gepaard met dosisverlaging bij 10 patiënten (3,8%), dosisonderbreking bij 7 patiënten (2,6%) en staking van de behandeling bij 2 patiënten (0,8%). Op basis van een centrale beoordeling van ECG-gegevens kwam QTcF &gt; 500 ms voor bij 2,3% van de patiënten. Bij </w:t>
      </w:r>
      <w:r w:rsidR="00F1322F">
        <w:rPr>
          <w:szCs w:val="22"/>
          <w:lang w:val="nl-NL"/>
        </w:rPr>
        <w:t>2</w:t>
      </w:r>
      <w:r w:rsidR="00F1322F" w:rsidRPr="00CD4E37">
        <w:rPr>
          <w:szCs w:val="22"/>
          <w:lang w:val="nl-NL"/>
        </w:rPr>
        <w:t xml:space="preserve"> </w:t>
      </w:r>
      <w:r w:rsidRPr="00CD4E37">
        <w:rPr>
          <w:szCs w:val="22"/>
          <w:lang w:val="nl-NL"/>
        </w:rPr>
        <w:t>patiënten (0,8%) die met VANFLYTA werden behandeld, trad hartstilstand op met geregistreerd ventrikelfibrilleren; in één van deze gevallen was de afloop fataal en beide voorvallen deden zich voor in aanwezigheid van ernstige hypokaliëmie. Er dien</w:t>
      </w:r>
      <w:r w:rsidR="007D10A1">
        <w:rPr>
          <w:szCs w:val="22"/>
          <w:lang w:val="nl-NL"/>
        </w:rPr>
        <w:t>t</w:t>
      </w:r>
      <w:r w:rsidRPr="00CD4E37">
        <w:rPr>
          <w:szCs w:val="22"/>
          <w:lang w:val="nl-NL"/>
        </w:rPr>
        <w:t xml:space="preserve"> elektrocardiogra</w:t>
      </w:r>
      <w:r w:rsidR="007D10A1">
        <w:rPr>
          <w:szCs w:val="22"/>
          <w:lang w:val="nl-NL"/>
        </w:rPr>
        <w:t>fie</w:t>
      </w:r>
      <w:r w:rsidRPr="00CD4E37">
        <w:rPr>
          <w:szCs w:val="22"/>
          <w:lang w:val="nl-NL"/>
        </w:rPr>
        <w:t xml:space="preserve"> en monitoring en correctie van hypokaliëmie en hypomagnesiëmie plaats te vinden vóór en tijdens behandeling met VANFLYTA. Zie rubriek 4.2 voor dosisaanpassing voor patiënten met verlenging van het QT-interval.</w:t>
      </w:r>
    </w:p>
    <w:p w14:paraId="54DF8B54" w14:textId="77777777" w:rsidR="00285B13" w:rsidRPr="00CD4E37" w:rsidRDefault="00285B13" w:rsidP="00891282">
      <w:pPr>
        <w:tabs>
          <w:tab w:val="clear" w:pos="567"/>
        </w:tabs>
        <w:spacing w:line="240" w:lineRule="auto"/>
        <w:rPr>
          <w:szCs w:val="22"/>
          <w:lang w:val="nl-NL"/>
        </w:rPr>
      </w:pPr>
    </w:p>
    <w:p w14:paraId="1EF10A2E"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Andere speciale populaties</w:t>
      </w:r>
    </w:p>
    <w:p w14:paraId="2020596F" w14:textId="77777777" w:rsidR="00285B13" w:rsidRPr="00CD4E37" w:rsidRDefault="00285B13" w:rsidP="00891282">
      <w:pPr>
        <w:keepNext/>
        <w:tabs>
          <w:tab w:val="clear" w:pos="567"/>
        </w:tabs>
        <w:spacing w:line="240" w:lineRule="auto"/>
        <w:rPr>
          <w:szCs w:val="22"/>
          <w:lang w:val="nl-NL"/>
        </w:rPr>
      </w:pPr>
    </w:p>
    <w:p w14:paraId="1413BF2F"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Ouderen</w:t>
      </w:r>
    </w:p>
    <w:p w14:paraId="549A28F8" w14:textId="77777777" w:rsidR="00285B13" w:rsidRPr="00CD4E37" w:rsidRDefault="00285B13" w:rsidP="001C6ECA">
      <w:pPr>
        <w:tabs>
          <w:tab w:val="clear" w:pos="567"/>
        </w:tabs>
        <w:spacing w:line="240" w:lineRule="auto"/>
        <w:rPr>
          <w:strike/>
          <w:szCs w:val="22"/>
          <w:lang w:val="nl-NL"/>
        </w:rPr>
      </w:pPr>
      <w:r w:rsidRPr="00CD4E37">
        <w:rPr>
          <w:szCs w:val="22"/>
          <w:lang w:val="nl-NL"/>
        </w:rPr>
        <w:t>Fatale infecties zijn vaker voorgekomen met quizartinib bij oudere patiënten (d.w.z. ouder dan 65 jaar) dan bij jongere patiënten (13% vs. 5,7%), met name in de vroege behandelingsperiode.</w:t>
      </w:r>
    </w:p>
    <w:p w14:paraId="39228318" w14:textId="77777777" w:rsidR="00285B13" w:rsidRPr="00CD4E37" w:rsidRDefault="00285B13" w:rsidP="00891282">
      <w:pPr>
        <w:tabs>
          <w:tab w:val="clear" w:pos="567"/>
        </w:tabs>
        <w:spacing w:line="240" w:lineRule="auto"/>
        <w:rPr>
          <w:szCs w:val="22"/>
          <w:lang w:val="nl-NL"/>
        </w:rPr>
      </w:pPr>
    </w:p>
    <w:p w14:paraId="7C0BF0C1" w14:textId="37BDD488" w:rsidR="00285B13" w:rsidRPr="00CD4E37" w:rsidRDefault="00285B13" w:rsidP="00891282">
      <w:pPr>
        <w:tabs>
          <w:tab w:val="clear" w:pos="567"/>
        </w:tabs>
        <w:spacing w:line="240" w:lineRule="auto"/>
        <w:rPr>
          <w:szCs w:val="22"/>
          <w:lang w:val="nl-NL"/>
        </w:rPr>
      </w:pPr>
      <w:r w:rsidRPr="00CD4E37">
        <w:rPr>
          <w:szCs w:val="22"/>
          <w:lang w:val="nl-NL"/>
        </w:rPr>
        <w:t xml:space="preserve">Patiënten ouder dan 65 jaar moeten nauwgezet worden gemonitord op het optreden van </w:t>
      </w:r>
      <w:r w:rsidR="00F71968" w:rsidRPr="00CD4E37">
        <w:rPr>
          <w:szCs w:val="22"/>
          <w:lang w:val="nl-NL"/>
        </w:rPr>
        <w:t xml:space="preserve">ernstige </w:t>
      </w:r>
      <w:r w:rsidRPr="00CD4E37">
        <w:rPr>
          <w:szCs w:val="22"/>
          <w:lang w:val="nl-NL"/>
        </w:rPr>
        <w:t>infecties tijdens inductie.</w:t>
      </w:r>
    </w:p>
    <w:p w14:paraId="71200F6D" w14:textId="77777777" w:rsidR="00285B13" w:rsidRPr="00CD4E37" w:rsidRDefault="00285B13" w:rsidP="00891282">
      <w:pPr>
        <w:tabs>
          <w:tab w:val="clear" w:pos="567"/>
        </w:tabs>
        <w:spacing w:line="240" w:lineRule="auto"/>
        <w:rPr>
          <w:szCs w:val="22"/>
          <w:lang w:val="nl-NL"/>
        </w:rPr>
      </w:pPr>
    </w:p>
    <w:p w14:paraId="75FCB76A"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Melding van vermoedelijke bijwerkingen</w:t>
      </w:r>
    </w:p>
    <w:p w14:paraId="7B155038" w14:textId="77777777" w:rsidR="00285B13" w:rsidRPr="00CD4E37" w:rsidRDefault="00285B13" w:rsidP="00891282">
      <w:pPr>
        <w:keepNext/>
        <w:tabs>
          <w:tab w:val="clear" w:pos="567"/>
        </w:tabs>
        <w:spacing w:line="240" w:lineRule="auto"/>
        <w:rPr>
          <w:szCs w:val="22"/>
          <w:lang w:val="nl-NL"/>
        </w:rPr>
      </w:pPr>
    </w:p>
    <w:p w14:paraId="7A86A48A" w14:textId="150F409A" w:rsidR="003F684B" w:rsidRPr="00796904" w:rsidRDefault="00285B13" w:rsidP="003F684B">
      <w:pPr>
        <w:autoSpaceDE w:val="0"/>
        <w:autoSpaceDN w:val="0"/>
        <w:adjustRightInd w:val="0"/>
        <w:rPr>
          <w:szCs w:val="22"/>
          <w:lang w:val="nl-NL"/>
        </w:rPr>
      </w:pPr>
      <w:r w:rsidRPr="00CD4E37">
        <w:rPr>
          <w:szCs w:val="22"/>
          <w:lang w:val="nl-NL"/>
        </w:rPr>
        <w:t>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w:t>
      </w:r>
      <w:r w:rsidR="00796904">
        <w:rPr>
          <w:szCs w:val="22"/>
          <w:lang w:val="nl-NL"/>
        </w:rPr>
        <w:t xml:space="preserve"> het </w:t>
      </w:r>
      <w:r w:rsidR="003F684B" w:rsidRPr="00BB06F8">
        <w:rPr>
          <w:rFonts w:eastAsia="Calibri"/>
          <w:lang w:val="nl-NL" w:eastAsia="zh-CN"/>
        </w:rPr>
        <w:t>Nederlands Bijwerkingen Centrum Lareb</w:t>
      </w:r>
      <w:r w:rsidR="00796904">
        <w:rPr>
          <w:szCs w:val="22"/>
          <w:lang w:val="nl-NL"/>
        </w:rPr>
        <w:t>, w</w:t>
      </w:r>
      <w:r w:rsidR="003F684B" w:rsidRPr="006A257C">
        <w:rPr>
          <w:rFonts w:eastAsia="Calibri"/>
          <w:szCs w:val="22"/>
          <w:lang w:val="nl-NL" w:eastAsia="zh-CN"/>
        </w:rPr>
        <w:t>ebsite</w:t>
      </w:r>
      <w:r w:rsidR="003F684B" w:rsidRPr="006A257C">
        <w:rPr>
          <w:rFonts w:eastAsia="Calibri"/>
          <w:noProof/>
          <w:szCs w:val="22"/>
          <w:lang w:val="nl-NL" w:eastAsia="zh-CN"/>
        </w:rPr>
        <w:t>:</w:t>
      </w:r>
      <w:r w:rsidR="003F684B" w:rsidRPr="00BB06F8">
        <w:rPr>
          <w:rFonts w:eastAsia="Calibri"/>
          <w:lang w:val="nl-NL" w:eastAsia="zh-CN"/>
        </w:rPr>
        <w:t xml:space="preserve"> </w:t>
      </w:r>
      <w:hyperlink r:id="rId12" w:history="1">
        <w:r w:rsidR="003F684B" w:rsidRPr="00BB06F8">
          <w:rPr>
            <w:rFonts w:eastAsia="Calibri"/>
            <w:color w:val="0000FF"/>
            <w:u w:val="single"/>
            <w:lang w:val="nl-NL" w:eastAsia="zh-CN"/>
          </w:rPr>
          <w:t>www.lareb.nl</w:t>
        </w:r>
      </w:hyperlink>
      <w:r w:rsidR="00796904" w:rsidRPr="00796904">
        <w:rPr>
          <w:rFonts w:eastAsia="Calibri"/>
          <w:lang w:val="nl-NL" w:eastAsia="zh-CN"/>
        </w:rPr>
        <w:t>.</w:t>
      </w:r>
    </w:p>
    <w:p w14:paraId="2F14EA66" w14:textId="1A63470F" w:rsidR="00285B13" w:rsidRPr="00CD4E37" w:rsidRDefault="00285B13" w:rsidP="00891282">
      <w:pPr>
        <w:tabs>
          <w:tab w:val="clear" w:pos="567"/>
        </w:tabs>
        <w:spacing w:line="240" w:lineRule="auto"/>
        <w:rPr>
          <w:szCs w:val="22"/>
          <w:lang w:val="nl-NL"/>
        </w:rPr>
      </w:pPr>
    </w:p>
    <w:p w14:paraId="5071257E" w14:textId="77777777" w:rsidR="00285B13" w:rsidRPr="00CD4E37" w:rsidRDefault="00285B13" w:rsidP="00891282">
      <w:pPr>
        <w:keepNext/>
        <w:spacing w:line="240" w:lineRule="auto"/>
        <w:rPr>
          <w:b/>
          <w:szCs w:val="22"/>
          <w:lang w:val="nl-NL"/>
        </w:rPr>
      </w:pPr>
      <w:r w:rsidRPr="00CD4E37">
        <w:rPr>
          <w:b/>
          <w:bCs/>
          <w:szCs w:val="22"/>
          <w:lang w:val="nl-NL"/>
        </w:rPr>
        <w:t>4.9</w:t>
      </w:r>
      <w:r w:rsidRPr="00CD4E37">
        <w:rPr>
          <w:b/>
          <w:bCs/>
          <w:szCs w:val="22"/>
          <w:lang w:val="nl-NL"/>
        </w:rPr>
        <w:tab/>
        <w:t>Overdosering</w:t>
      </w:r>
    </w:p>
    <w:p w14:paraId="1FB835D5" w14:textId="77777777" w:rsidR="00285B13" w:rsidRPr="00CD4E37" w:rsidRDefault="00285B13" w:rsidP="00891282">
      <w:pPr>
        <w:keepNext/>
        <w:tabs>
          <w:tab w:val="clear" w:pos="567"/>
        </w:tabs>
        <w:spacing w:line="240" w:lineRule="auto"/>
        <w:rPr>
          <w:szCs w:val="22"/>
          <w:lang w:val="nl-NL"/>
        </w:rPr>
      </w:pPr>
    </w:p>
    <w:p w14:paraId="78F5E4CC" w14:textId="77777777" w:rsidR="00285B13" w:rsidRPr="00CD4E37" w:rsidRDefault="00285B13" w:rsidP="00891282">
      <w:pPr>
        <w:tabs>
          <w:tab w:val="clear" w:pos="567"/>
        </w:tabs>
        <w:spacing w:line="240" w:lineRule="auto"/>
        <w:rPr>
          <w:szCs w:val="22"/>
          <w:lang w:val="nl-NL"/>
        </w:rPr>
      </w:pPr>
      <w:r w:rsidRPr="00CD4E37">
        <w:rPr>
          <w:szCs w:val="22"/>
          <w:lang w:val="nl-NL"/>
        </w:rPr>
        <w:t>Er is geen bekend antidotum voor overdosering van VANFLYTA. Bij een substantiële overdosis moeten ondersteunende maatregelen worden ingesteld al naargelang nodig, met onderbreking van de behandeling, beoordeling van hematologische waarden en ECG-monitoring, evenals aandacht voor serumelektrolyten en gelijktijdig gebruikte geneesmiddelen waardoor patiënten een verhoogde kans kunnen hebben op verlenging van het QT-interval en/of torsade de pointes. Patiënten moeten symptomatische behandeling en ondersteunende zorg krijgen (zie rubriek 4.2 en 4.4).</w:t>
      </w:r>
    </w:p>
    <w:p w14:paraId="0C575DB3" w14:textId="77777777" w:rsidR="00285B13" w:rsidRPr="00CD4E37" w:rsidRDefault="00285B13" w:rsidP="00891282">
      <w:pPr>
        <w:tabs>
          <w:tab w:val="clear" w:pos="567"/>
        </w:tabs>
        <w:spacing w:line="240" w:lineRule="auto"/>
        <w:rPr>
          <w:szCs w:val="22"/>
          <w:lang w:val="nl-NL"/>
        </w:rPr>
      </w:pPr>
    </w:p>
    <w:p w14:paraId="0EB24B9C" w14:textId="77777777" w:rsidR="00285B13" w:rsidRPr="00CD4E37" w:rsidRDefault="00285B13" w:rsidP="00891282">
      <w:pPr>
        <w:tabs>
          <w:tab w:val="clear" w:pos="567"/>
        </w:tabs>
        <w:spacing w:line="240" w:lineRule="auto"/>
        <w:rPr>
          <w:szCs w:val="22"/>
          <w:lang w:val="nl-NL"/>
        </w:rPr>
      </w:pPr>
    </w:p>
    <w:p w14:paraId="690B6042" w14:textId="77777777" w:rsidR="00285B13" w:rsidRPr="00CD4E37" w:rsidRDefault="00285B13" w:rsidP="00891282">
      <w:pPr>
        <w:keepNext/>
        <w:suppressAutoHyphens/>
        <w:spacing w:line="240" w:lineRule="auto"/>
        <w:ind w:left="567" w:hanging="567"/>
        <w:rPr>
          <w:lang w:val="nl-NL"/>
        </w:rPr>
      </w:pPr>
      <w:r w:rsidRPr="00CD4E37">
        <w:rPr>
          <w:b/>
          <w:bCs/>
          <w:lang w:val="nl-NL"/>
        </w:rPr>
        <w:t>5.</w:t>
      </w:r>
      <w:r w:rsidRPr="00CD4E37">
        <w:rPr>
          <w:b/>
          <w:bCs/>
          <w:lang w:val="nl-NL"/>
        </w:rPr>
        <w:tab/>
        <w:t>FARMACOLOGISCHE EIGENSCHAPPEN</w:t>
      </w:r>
    </w:p>
    <w:p w14:paraId="7478B3D7" w14:textId="77777777" w:rsidR="00285B13" w:rsidRPr="00CD4E37" w:rsidRDefault="00285B13" w:rsidP="00891282">
      <w:pPr>
        <w:keepNext/>
        <w:tabs>
          <w:tab w:val="clear" w:pos="567"/>
        </w:tabs>
        <w:spacing w:line="240" w:lineRule="auto"/>
        <w:rPr>
          <w:lang w:val="nl-NL"/>
        </w:rPr>
      </w:pPr>
    </w:p>
    <w:p w14:paraId="55984693" w14:textId="77777777" w:rsidR="00285B13" w:rsidRPr="00CD4E37" w:rsidRDefault="00285B13" w:rsidP="00891282">
      <w:pPr>
        <w:keepNext/>
        <w:spacing w:line="240" w:lineRule="auto"/>
        <w:rPr>
          <w:b/>
          <w:szCs w:val="22"/>
          <w:lang w:val="nl-NL"/>
        </w:rPr>
      </w:pPr>
      <w:r w:rsidRPr="00CD4E37">
        <w:rPr>
          <w:b/>
          <w:bCs/>
          <w:szCs w:val="22"/>
          <w:lang w:val="nl-NL"/>
        </w:rPr>
        <w:t>5.1</w:t>
      </w:r>
      <w:r w:rsidRPr="00CD4E37">
        <w:rPr>
          <w:b/>
          <w:bCs/>
          <w:szCs w:val="22"/>
          <w:lang w:val="nl-NL"/>
        </w:rPr>
        <w:tab/>
        <w:t>Farmacodynamische eigenschappen</w:t>
      </w:r>
    </w:p>
    <w:p w14:paraId="4DD85ED3" w14:textId="77777777" w:rsidR="00285B13" w:rsidRPr="00CD4E37" w:rsidRDefault="00285B13" w:rsidP="00891282">
      <w:pPr>
        <w:keepNext/>
        <w:tabs>
          <w:tab w:val="clear" w:pos="567"/>
        </w:tabs>
        <w:spacing w:line="240" w:lineRule="auto"/>
        <w:rPr>
          <w:lang w:val="nl-NL"/>
        </w:rPr>
      </w:pPr>
    </w:p>
    <w:p w14:paraId="00BAB44D" w14:textId="77777777" w:rsidR="00285B13" w:rsidRPr="00CD4E37" w:rsidRDefault="00285B13" w:rsidP="00891282">
      <w:pPr>
        <w:tabs>
          <w:tab w:val="clear" w:pos="567"/>
        </w:tabs>
        <w:spacing w:line="240" w:lineRule="auto"/>
        <w:rPr>
          <w:szCs w:val="22"/>
          <w:lang w:val="nl-NL"/>
        </w:rPr>
      </w:pPr>
      <w:r w:rsidRPr="00CD4E37">
        <w:rPr>
          <w:szCs w:val="22"/>
          <w:lang w:val="nl-NL"/>
        </w:rPr>
        <w:t>Farmacotherapeutische categorie: antineoplastische middelen, proteïnekinaseremmers, ATC-code: L01EX11</w:t>
      </w:r>
    </w:p>
    <w:p w14:paraId="15A393D0" w14:textId="77777777" w:rsidR="00285B13" w:rsidRPr="00CD4E37" w:rsidRDefault="00285B13" w:rsidP="00891282">
      <w:pPr>
        <w:tabs>
          <w:tab w:val="clear" w:pos="567"/>
        </w:tabs>
        <w:spacing w:line="240" w:lineRule="auto"/>
        <w:rPr>
          <w:szCs w:val="22"/>
          <w:lang w:val="nl-NL"/>
        </w:rPr>
      </w:pPr>
    </w:p>
    <w:p w14:paraId="3F6A61FD"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Werkingsmechanisme</w:t>
      </w:r>
    </w:p>
    <w:p w14:paraId="6F3DFA91" w14:textId="77777777" w:rsidR="00285B13" w:rsidRPr="00CD4E37" w:rsidRDefault="00285B13" w:rsidP="00891282">
      <w:pPr>
        <w:keepNext/>
        <w:tabs>
          <w:tab w:val="clear" w:pos="567"/>
        </w:tabs>
        <w:spacing w:line="240" w:lineRule="auto"/>
        <w:rPr>
          <w:szCs w:val="22"/>
          <w:lang w:val="nl-NL"/>
        </w:rPr>
      </w:pPr>
    </w:p>
    <w:p w14:paraId="37C27221" w14:textId="77777777" w:rsidR="00285B13" w:rsidRPr="00CD4E37" w:rsidRDefault="00285B13" w:rsidP="00891282">
      <w:pPr>
        <w:tabs>
          <w:tab w:val="clear" w:pos="567"/>
        </w:tabs>
        <w:spacing w:line="240" w:lineRule="auto"/>
        <w:rPr>
          <w:szCs w:val="22"/>
          <w:lang w:val="nl-NL"/>
        </w:rPr>
      </w:pPr>
      <w:r w:rsidRPr="00CD4E37">
        <w:rPr>
          <w:szCs w:val="22"/>
          <w:lang w:val="nl-NL"/>
        </w:rPr>
        <w:t xml:space="preserve">Quizartinib is een remmer van de receptortyrosinekinase FLT3. Quizartinib en zijn belangrijkste metaboliet AC886 binden op competitieve wijze en met hoge affiniteit aan de adenosinetrifosfaat (ATP)-bindende </w:t>
      </w:r>
      <w:r w:rsidRPr="00CD4E37">
        <w:rPr>
          <w:i/>
          <w:iCs/>
          <w:szCs w:val="22"/>
          <w:lang w:val="nl-NL"/>
        </w:rPr>
        <w:t>pocket</w:t>
      </w:r>
      <w:r w:rsidRPr="00CD4E37">
        <w:rPr>
          <w:szCs w:val="22"/>
          <w:lang w:val="nl-NL"/>
        </w:rPr>
        <w:t xml:space="preserve"> van FLT3. Quizartinib en AC886 hebben een remmend effect op de kinaseactiviteit van FLT3, waardoor autofosforylering van de receptor wordt verhinderd, met remmend effect op de daaropvolgende signaaltransductie van de FLT3-receptor en blokkering van de FLT3-ITD-afhankelijke celproliferatie.</w:t>
      </w:r>
    </w:p>
    <w:p w14:paraId="39A133BB" w14:textId="77777777" w:rsidR="00285B13" w:rsidRPr="00CD4E37" w:rsidRDefault="00285B13" w:rsidP="00891282">
      <w:pPr>
        <w:tabs>
          <w:tab w:val="clear" w:pos="567"/>
        </w:tabs>
        <w:spacing w:line="240" w:lineRule="auto"/>
        <w:rPr>
          <w:szCs w:val="22"/>
          <w:lang w:val="nl-NL"/>
        </w:rPr>
      </w:pPr>
    </w:p>
    <w:p w14:paraId="784A5B4E" w14:textId="77777777" w:rsidR="00285B13" w:rsidRPr="00CD4E37" w:rsidRDefault="00285B13" w:rsidP="00891282">
      <w:pPr>
        <w:keepNext/>
        <w:tabs>
          <w:tab w:val="clear" w:pos="567"/>
        </w:tabs>
        <w:spacing w:line="240" w:lineRule="auto"/>
        <w:rPr>
          <w:szCs w:val="22"/>
          <w:u w:val="single"/>
          <w:lang w:val="nl-NL"/>
        </w:rPr>
      </w:pPr>
      <w:bookmarkStart w:id="31" w:name="_Hlk92870681"/>
      <w:r w:rsidRPr="00CD4E37">
        <w:rPr>
          <w:szCs w:val="22"/>
          <w:u w:val="single"/>
          <w:lang w:val="nl-NL"/>
        </w:rPr>
        <w:t>Farmacodynamische effecten</w:t>
      </w:r>
    </w:p>
    <w:p w14:paraId="579DBF63" w14:textId="77777777" w:rsidR="00285B13" w:rsidRPr="00CD4E37" w:rsidRDefault="00285B13" w:rsidP="00891282">
      <w:pPr>
        <w:keepNext/>
        <w:tabs>
          <w:tab w:val="clear" w:pos="567"/>
        </w:tabs>
        <w:spacing w:line="240" w:lineRule="auto"/>
        <w:rPr>
          <w:szCs w:val="22"/>
          <w:lang w:val="nl-NL"/>
        </w:rPr>
      </w:pPr>
    </w:p>
    <w:p w14:paraId="59C42323" w14:textId="77777777" w:rsidR="00285B13" w:rsidRPr="00CD4E37" w:rsidRDefault="00285B13" w:rsidP="00891282">
      <w:pPr>
        <w:keepNext/>
        <w:tabs>
          <w:tab w:val="clear" w:pos="567"/>
        </w:tabs>
        <w:spacing w:line="240" w:lineRule="auto"/>
        <w:rPr>
          <w:i/>
          <w:szCs w:val="22"/>
          <w:lang w:val="nl-NL"/>
        </w:rPr>
      </w:pPr>
      <w:bookmarkStart w:id="32" w:name="_Hlk92266141"/>
      <w:bookmarkEnd w:id="31"/>
      <w:r w:rsidRPr="00CD4E37">
        <w:rPr>
          <w:i/>
          <w:iCs/>
          <w:szCs w:val="22"/>
          <w:lang w:val="nl-NL"/>
        </w:rPr>
        <w:t>Cardiale elektrofysiologie</w:t>
      </w:r>
    </w:p>
    <w:bookmarkEnd w:id="32"/>
    <w:p w14:paraId="5484DE50" w14:textId="68109BA2" w:rsidR="00285B13" w:rsidRPr="00CD4E37" w:rsidRDefault="00285B13" w:rsidP="00891282">
      <w:pPr>
        <w:tabs>
          <w:tab w:val="clear" w:pos="567"/>
        </w:tabs>
        <w:spacing w:line="240" w:lineRule="auto"/>
        <w:rPr>
          <w:szCs w:val="22"/>
          <w:lang w:val="nl-NL"/>
        </w:rPr>
      </w:pPr>
      <w:r w:rsidRPr="00CD4E37">
        <w:rPr>
          <w:szCs w:val="22"/>
          <w:lang w:val="nl-NL"/>
        </w:rPr>
        <w:t xml:space="preserve">Uit de blootstelling-responsanalyse van het QuANTUM-First-onderzoek kwam een voorspelde concentratieafhankelijke verlenging van het QTcF-interval van 24,1 ms (bovengrens van het tweezijdige 90%-betrouwbaarheidsinterval </w:t>
      </w:r>
      <w:r w:rsidR="00B628F8">
        <w:rPr>
          <w:szCs w:val="22"/>
          <w:lang w:val="nl-NL"/>
        </w:rPr>
        <w:t>[</w:t>
      </w:r>
      <w:r w:rsidRPr="00CD4E37">
        <w:rPr>
          <w:szCs w:val="22"/>
          <w:lang w:val="nl-NL"/>
        </w:rPr>
        <w:t>BI</w:t>
      </w:r>
      <w:r w:rsidR="00B628F8">
        <w:rPr>
          <w:szCs w:val="22"/>
          <w:lang w:val="nl-NL"/>
        </w:rPr>
        <w:t>]</w:t>
      </w:r>
      <w:r w:rsidRPr="00CD4E37">
        <w:rPr>
          <w:szCs w:val="22"/>
          <w:lang w:val="nl-NL"/>
        </w:rPr>
        <w:t>: 26,6 ms) bij de C</w:t>
      </w:r>
      <w:r w:rsidRPr="00CD4E37">
        <w:rPr>
          <w:szCs w:val="22"/>
          <w:vertAlign w:val="subscript"/>
          <w:lang w:val="nl-NL"/>
        </w:rPr>
        <w:t>max</w:t>
      </w:r>
      <w:r w:rsidRPr="00CD4E37">
        <w:rPr>
          <w:szCs w:val="22"/>
          <w:lang w:val="nl-NL"/>
        </w:rPr>
        <w:t xml:space="preserve"> van quizartinib in </w:t>
      </w:r>
      <w:r w:rsidRPr="00CD4E37">
        <w:rPr>
          <w:i/>
          <w:iCs/>
          <w:szCs w:val="22"/>
          <w:lang w:val="nl-NL"/>
        </w:rPr>
        <w:t>steady</w:t>
      </w:r>
      <w:r w:rsidRPr="00CD4E37">
        <w:rPr>
          <w:szCs w:val="22"/>
          <w:lang w:val="nl-NL"/>
        </w:rPr>
        <w:t> </w:t>
      </w:r>
      <w:r w:rsidRPr="00CD4E37">
        <w:rPr>
          <w:i/>
          <w:iCs/>
          <w:szCs w:val="22"/>
          <w:lang w:val="nl-NL"/>
        </w:rPr>
        <w:t>state</w:t>
      </w:r>
      <w:r w:rsidRPr="00CD4E37">
        <w:rPr>
          <w:szCs w:val="22"/>
          <w:lang w:val="nl-NL"/>
        </w:rPr>
        <w:t xml:space="preserve"> (53 mg) tijdens </w:t>
      </w:r>
      <w:r w:rsidRPr="00CD4E37">
        <w:rPr>
          <w:color w:val="000000"/>
          <w:lang w:val="nl-NL"/>
        </w:rPr>
        <w:t>onderhoudstherapie</w:t>
      </w:r>
      <w:r w:rsidRPr="00CD4E37">
        <w:rPr>
          <w:szCs w:val="22"/>
          <w:lang w:val="nl-NL"/>
        </w:rPr>
        <w:t>.</w:t>
      </w:r>
    </w:p>
    <w:p w14:paraId="085192C9" w14:textId="77777777" w:rsidR="00285B13" w:rsidRPr="00CD4E37" w:rsidRDefault="00285B13" w:rsidP="00891282">
      <w:pPr>
        <w:tabs>
          <w:tab w:val="clear" w:pos="567"/>
        </w:tabs>
        <w:spacing w:line="240" w:lineRule="auto"/>
        <w:rPr>
          <w:szCs w:val="22"/>
          <w:lang w:val="nl-NL"/>
        </w:rPr>
      </w:pPr>
      <w:bookmarkStart w:id="33" w:name="_Hlk92275046"/>
    </w:p>
    <w:p w14:paraId="3C78D5D4"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Klinische werkzaamheid en veiligheid</w:t>
      </w:r>
    </w:p>
    <w:p w14:paraId="02AFF153" w14:textId="77777777" w:rsidR="00285B13" w:rsidRPr="00CD4E37" w:rsidRDefault="00285B13" w:rsidP="00891282">
      <w:pPr>
        <w:keepNext/>
        <w:tabs>
          <w:tab w:val="clear" w:pos="567"/>
        </w:tabs>
        <w:spacing w:line="240" w:lineRule="auto"/>
        <w:rPr>
          <w:szCs w:val="22"/>
          <w:lang w:val="nl-NL"/>
        </w:rPr>
      </w:pPr>
    </w:p>
    <w:p w14:paraId="32C99F52" w14:textId="77777777" w:rsidR="00285B13" w:rsidRPr="00CD4E37" w:rsidRDefault="00285B13" w:rsidP="00891282">
      <w:pPr>
        <w:tabs>
          <w:tab w:val="clear" w:pos="567"/>
        </w:tabs>
        <w:spacing w:line="240" w:lineRule="auto"/>
        <w:rPr>
          <w:szCs w:val="22"/>
          <w:lang w:val="nl-NL"/>
        </w:rPr>
      </w:pPr>
      <w:bookmarkStart w:id="34" w:name="_Hlk92732503"/>
      <w:r w:rsidRPr="00CD4E37">
        <w:rPr>
          <w:szCs w:val="22"/>
          <w:lang w:val="nl-NL"/>
        </w:rPr>
        <w:t>De werkzaamheid en veiligheid van quizartinib ten</w:t>
      </w:r>
      <w:r w:rsidRPr="00CD4E37">
        <w:rPr>
          <w:lang w:val="nl-NL"/>
        </w:rPr>
        <w:t xml:space="preserve"> opzichte van </w:t>
      </w:r>
      <w:r w:rsidRPr="00CD4E37">
        <w:rPr>
          <w:szCs w:val="22"/>
          <w:lang w:val="nl-NL"/>
        </w:rPr>
        <w:t xml:space="preserve">placebo is onderzocht in een gerandomiseerd, dubbelblind, placebogecontroleerd fase III-onderzoek, QuANTUM-First. In het onderzoek waren 539 volwassen patiënten opgenomen met een leeftijd tussen de 18 en 75 jaar (25% was 65 jaar of ouder) bij wie onlangs FLT3-ITD-positieve AML was gediagnosticeerd, prospectief bepaald door middel van een voor het klinisch onderzoek ontwikkelde test. De patiënten werden gerandomiseerd (1:1) naar het ontvangen van VANFLYTA 35,4 mg eenmaal daags (n = 268) of placebo (n = 271) gedurende twee weken in elke cyclus, in combinatie met standaardchemotherapie (inductie gevolgd door consolidatie voor patiënten die een respons vertoonden) gevolgd door </w:t>
      </w:r>
      <w:r w:rsidRPr="00CD4E37">
        <w:rPr>
          <w:color w:val="000000"/>
          <w:lang w:val="nl-NL"/>
        </w:rPr>
        <w:t>onderhoudstherapie</w:t>
      </w:r>
      <w:r w:rsidRPr="00CD4E37">
        <w:rPr>
          <w:szCs w:val="22"/>
          <w:lang w:val="nl-NL"/>
        </w:rPr>
        <w:t xml:space="preserve"> met VANFLYTA als monotherapie (26,5 mg eenmaal daags gedurende twee weken en 53 mg eenmaal daags daarna) of placebo gedurende maximaal 36 cycli (28 dagen/cyclus).</w:t>
      </w:r>
    </w:p>
    <w:bookmarkEnd w:id="34"/>
    <w:p w14:paraId="7BF1E009" w14:textId="77777777" w:rsidR="00285B13" w:rsidRPr="00CD4E37" w:rsidRDefault="00285B13" w:rsidP="00891282">
      <w:pPr>
        <w:tabs>
          <w:tab w:val="clear" w:pos="567"/>
        </w:tabs>
        <w:spacing w:line="240" w:lineRule="auto"/>
        <w:rPr>
          <w:szCs w:val="22"/>
          <w:lang w:val="nl-NL"/>
        </w:rPr>
      </w:pPr>
    </w:p>
    <w:p w14:paraId="092CA28C" w14:textId="77777777" w:rsidR="00285B13" w:rsidRPr="00CD4E37" w:rsidRDefault="00285B13" w:rsidP="00891282">
      <w:pPr>
        <w:tabs>
          <w:tab w:val="clear" w:pos="567"/>
        </w:tabs>
        <w:spacing w:line="240" w:lineRule="auto"/>
        <w:rPr>
          <w:iCs/>
          <w:lang w:val="nl-NL"/>
        </w:rPr>
      </w:pPr>
      <w:r w:rsidRPr="00CD4E37">
        <w:rPr>
          <w:szCs w:val="22"/>
          <w:lang w:val="nl-NL"/>
        </w:rPr>
        <w:t>De patiënten kregen maximaal 2 cycli inductiechemotherapie met daunorubicine op dag 1, 2 en 3 of idarubicine op dag 1, 2 en 3 en cytarabine gedurende 7 dagen, gevolgd door postremissietherapie bestaande uit maximaal 4 cycli consolidatiechemotherapie en/of HSCT. Consolidatiechemotherapie bestond uit cytarabine op dag 1, 3 en 5. Patiënten die HSCT zouden krijgen, stopten 7</w:t>
      </w:r>
      <w:r w:rsidRPr="00CD4E37">
        <w:rPr>
          <w:lang w:val="nl-NL"/>
        </w:rPr>
        <w:t> </w:t>
      </w:r>
      <w:r w:rsidRPr="00CD4E37">
        <w:rPr>
          <w:szCs w:val="22"/>
          <w:lang w:val="nl-NL"/>
        </w:rPr>
        <w:t>dagen vóór aanvang van een conditioneringsschema met de onderzoeksbehandeling. Raadpleeg voor doseringsaanbevelingen de Samenvatting van de productkenmerken voor daunorubicine, idarubicine en cytarabine.</w:t>
      </w:r>
    </w:p>
    <w:p w14:paraId="10649048" w14:textId="77777777" w:rsidR="00285B13" w:rsidRPr="00CD4E37" w:rsidRDefault="00285B13" w:rsidP="00891282">
      <w:pPr>
        <w:tabs>
          <w:tab w:val="clear" w:pos="567"/>
        </w:tabs>
        <w:spacing w:line="240" w:lineRule="auto"/>
        <w:rPr>
          <w:szCs w:val="22"/>
          <w:lang w:val="nl-NL"/>
        </w:rPr>
      </w:pPr>
    </w:p>
    <w:p w14:paraId="7CFFCF34" w14:textId="602F741C" w:rsidR="00285B13" w:rsidRPr="00CD4E37" w:rsidRDefault="00285B13" w:rsidP="00891282">
      <w:pPr>
        <w:tabs>
          <w:tab w:val="clear" w:pos="567"/>
        </w:tabs>
        <w:spacing w:line="240" w:lineRule="auto"/>
        <w:rPr>
          <w:lang w:val="nl-NL"/>
        </w:rPr>
      </w:pPr>
      <w:r w:rsidRPr="00CD4E37">
        <w:rPr>
          <w:lang w:val="nl-NL"/>
        </w:rPr>
        <w:t xml:space="preserve">De twee gerandomiseerde behandelingsgroepen waren goed vergelijkbaar wat betreft demografische gegevens, ziektekenmerken en stratificatiefactoren in de uitgangssituatie. De mediane leeftijd van de 539 patiënten was 56 jaar (spreiding: 20-75 jaar); 26,1% van de patiënten in de groep met quizartinib en 24% van de patiënten in de placebogroep was 65 jaar of ouder; 54,5% was vrouw en 45,5% was man; 59,7% was wit, 29,3% was Aziatisch, 1,3% was zwart of Afrikaans-Amerikaans en 9,7% was van een ander ras. </w:t>
      </w:r>
      <w:r w:rsidR="00DC5E08">
        <w:rPr>
          <w:lang w:val="nl-NL"/>
        </w:rPr>
        <w:t>84%</w:t>
      </w:r>
      <w:r w:rsidRPr="00CD4E37">
        <w:rPr>
          <w:lang w:val="nl-NL"/>
        </w:rPr>
        <w:t xml:space="preserve"> van de patiënten had in de uitgangssituatie een </w:t>
      </w:r>
      <w:r w:rsidRPr="00CD4E37">
        <w:rPr>
          <w:i/>
          <w:iCs/>
          <w:lang w:val="nl-NL"/>
        </w:rPr>
        <w:t>Eastern Cooperative Oncology Group</w:t>
      </w:r>
      <w:r w:rsidRPr="00CD4E37">
        <w:rPr>
          <w:lang w:val="nl-NL"/>
        </w:rPr>
        <w:t xml:space="preserve"> (ECOG)-prestatiestatus van 0 of 1. Het grootste deel van de patiënten (72,4%) had in de uitgangssituatie een middelhoge cytogenetische risicostatus. De variantallelfrequentie (VAF) van FLT3-ITD was 3-25% bij 35,6% van de patiënten, meer dan 25-50% bij 52,1% van de patiënten en meer dan 50% bij 12,1% van de patiënten.</w:t>
      </w:r>
    </w:p>
    <w:p w14:paraId="7CBCEECE" w14:textId="77777777" w:rsidR="00285B13" w:rsidRPr="00CD4E37" w:rsidRDefault="00285B13" w:rsidP="00891282">
      <w:pPr>
        <w:tabs>
          <w:tab w:val="clear" w:pos="567"/>
        </w:tabs>
        <w:spacing w:line="240" w:lineRule="auto"/>
        <w:rPr>
          <w:lang w:val="nl-NL"/>
        </w:rPr>
      </w:pPr>
    </w:p>
    <w:p w14:paraId="77224AD8" w14:textId="77777777" w:rsidR="00285B13" w:rsidRPr="00CD4E37" w:rsidRDefault="00285B13" w:rsidP="00891282">
      <w:pPr>
        <w:tabs>
          <w:tab w:val="clear" w:pos="567"/>
        </w:tabs>
        <w:spacing w:line="240" w:lineRule="auto"/>
        <w:rPr>
          <w:lang w:val="nl-NL"/>
        </w:rPr>
      </w:pPr>
      <w:r w:rsidRPr="00CD4E37">
        <w:rPr>
          <w:lang w:val="nl-NL"/>
        </w:rPr>
        <w:lastRenderedPageBreak/>
        <w:t xml:space="preserve">De primaire uitkomstmaat voor de werkzaamheid was de totale overleving (OS, </w:t>
      </w:r>
      <w:r w:rsidRPr="00CD4E37">
        <w:rPr>
          <w:i/>
          <w:iCs/>
          <w:lang w:val="nl-NL"/>
        </w:rPr>
        <w:t>overall survival</w:t>
      </w:r>
      <w:r w:rsidRPr="00CD4E37">
        <w:rPr>
          <w:lang w:val="nl-NL"/>
        </w:rPr>
        <w:t>), gedefinieerd als de tijd vanaf de randomisatie tot overlijden door welke oorzaak dan ook.</w:t>
      </w:r>
    </w:p>
    <w:p w14:paraId="799E43F7" w14:textId="77777777" w:rsidR="00285B13" w:rsidRPr="00CD4E37" w:rsidRDefault="00285B13" w:rsidP="00891282">
      <w:pPr>
        <w:tabs>
          <w:tab w:val="clear" w:pos="567"/>
        </w:tabs>
        <w:spacing w:line="240" w:lineRule="auto"/>
        <w:rPr>
          <w:lang w:val="nl-NL"/>
        </w:rPr>
      </w:pPr>
    </w:p>
    <w:p w14:paraId="47A2528A" w14:textId="77777777" w:rsidR="00285B13" w:rsidRPr="00CD4E37" w:rsidRDefault="00285B13" w:rsidP="00891282">
      <w:pPr>
        <w:tabs>
          <w:tab w:val="clear" w:pos="567"/>
        </w:tabs>
        <w:spacing w:line="240" w:lineRule="auto"/>
        <w:rPr>
          <w:lang w:val="nl-NL"/>
        </w:rPr>
      </w:pPr>
      <w:r w:rsidRPr="00CD4E37">
        <w:rPr>
          <w:lang w:val="nl-NL"/>
        </w:rPr>
        <w:t>In het onderzoek werd een statistisch significante verbetering in de OS aangetoond voor de groep die quizartinib kreeg (zie tabel 5 en figuur 1). De mediane follow-upperiode van het onderzoek was 39,2 maanden.</w:t>
      </w:r>
    </w:p>
    <w:p w14:paraId="3945630E" w14:textId="77777777" w:rsidR="00285B13" w:rsidRPr="00CD4E37" w:rsidRDefault="00285B13" w:rsidP="00891282">
      <w:pPr>
        <w:tabs>
          <w:tab w:val="clear" w:pos="567"/>
        </w:tabs>
        <w:spacing w:line="240" w:lineRule="auto"/>
        <w:rPr>
          <w:lang w:val="nl-NL"/>
        </w:rPr>
      </w:pPr>
    </w:p>
    <w:p w14:paraId="35F5F1A5" w14:textId="07ABB916" w:rsidR="00285B13" w:rsidRPr="00CD4E37" w:rsidRDefault="00E65187" w:rsidP="00891282">
      <w:pPr>
        <w:tabs>
          <w:tab w:val="clear" w:pos="567"/>
        </w:tabs>
        <w:spacing w:line="240" w:lineRule="auto"/>
        <w:rPr>
          <w:lang w:val="nl-NL"/>
        </w:rPr>
      </w:pPr>
      <w:r w:rsidRPr="00CD4E37">
        <w:rPr>
          <w:lang w:val="nl-NL"/>
        </w:rPr>
        <w:t>Tussen de groep die quizartinib kreeg en de placebogroep werd een verschil waargenomen in d</w:t>
      </w:r>
      <w:r w:rsidR="00285B13" w:rsidRPr="00CD4E37">
        <w:rPr>
          <w:lang w:val="nl-NL"/>
        </w:rPr>
        <w:t>e schattingen van de overlevingspercentages (95%-BI) op de tijdpunten van 12, 24, 36 en 48 maanden, die fungeerden als mijlpaal (zie tabel 5).</w:t>
      </w:r>
    </w:p>
    <w:p w14:paraId="37440D73" w14:textId="77777777" w:rsidR="00285B13" w:rsidRPr="00CD4E37" w:rsidRDefault="00285B13" w:rsidP="00891282">
      <w:pPr>
        <w:tabs>
          <w:tab w:val="clear" w:pos="567"/>
        </w:tabs>
        <w:spacing w:line="240" w:lineRule="auto"/>
        <w:rPr>
          <w:lang w:val="nl-NL"/>
        </w:rPr>
      </w:pPr>
    </w:p>
    <w:p w14:paraId="1C1A859C" w14:textId="701255DF" w:rsidR="00E65187" w:rsidRPr="00CD4E37" w:rsidRDefault="00E65187" w:rsidP="00E65187">
      <w:pPr>
        <w:tabs>
          <w:tab w:val="clear" w:pos="567"/>
        </w:tabs>
        <w:spacing w:line="240" w:lineRule="auto"/>
        <w:rPr>
          <w:lang w:val="nl-NL"/>
        </w:rPr>
      </w:pPr>
      <w:bookmarkStart w:id="35" w:name="_Hlk136505183"/>
      <w:r w:rsidRPr="00CD4E37">
        <w:rPr>
          <w:szCs w:val="22"/>
          <w:lang w:val="nl-NL"/>
        </w:rPr>
        <w:t>Het percentage complete remissie (CR) [95%</w:t>
      </w:r>
      <w:r w:rsidR="00BA56F1" w:rsidRPr="00CD4E37">
        <w:rPr>
          <w:szCs w:val="22"/>
          <w:lang w:val="nl-NL"/>
        </w:rPr>
        <w:t>-</w:t>
      </w:r>
      <w:r w:rsidRPr="00CD4E37">
        <w:rPr>
          <w:szCs w:val="22"/>
          <w:lang w:val="nl-NL"/>
        </w:rPr>
        <w:t>BI] voor quizartinib was 54,9% (147/268) [48,7; 60,9] vs. 55,4% (150/271) [49,2; 61,4] voor placebo.</w:t>
      </w:r>
    </w:p>
    <w:bookmarkEnd w:id="35"/>
    <w:p w14:paraId="40C73A1D" w14:textId="77777777" w:rsidR="00285B13" w:rsidRPr="00CD4E37" w:rsidRDefault="00285B13" w:rsidP="00891282">
      <w:pPr>
        <w:tabs>
          <w:tab w:val="clear" w:pos="567"/>
        </w:tabs>
        <w:spacing w:line="240" w:lineRule="auto"/>
        <w:rPr>
          <w:lang w:val="nl-NL"/>
        </w:rPr>
      </w:pPr>
    </w:p>
    <w:p w14:paraId="360D4B32" w14:textId="17864358" w:rsidR="00285B13" w:rsidRPr="00CD4E37" w:rsidRDefault="00285B13" w:rsidP="00891282">
      <w:pPr>
        <w:keepNext/>
        <w:tabs>
          <w:tab w:val="clear" w:pos="567"/>
        </w:tabs>
        <w:spacing w:line="240" w:lineRule="auto"/>
        <w:rPr>
          <w:b/>
          <w:lang w:val="nl-NL"/>
        </w:rPr>
      </w:pPr>
      <w:r w:rsidRPr="00CD4E37">
        <w:rPr>
          <w:b/>
          <w:bCs/>
          <w:lang w:val="nl-NL"/>
        </w:rPr>
        <w:t>Tabel 5: Werkzaamheidsresultaten uit QuANTUM-First (</w:t>
      </w:r>
      <w:r w:rsidR="007F44E2" w:rsidRPr="00CD4E37">
        <w:rPr>
          <w:b/>
          <w:bCs/>
          <w:i/>
          <w:iCs/>
          <w:lang w:val="nl-NL"/>
        </w:rPr>
        <w:t>intent</w:t>
      </w:r>
      <w:r w:rsidR="007F44E2">
        <w:rPr>
          <w:b/>
          <w:bCs/>
          <w:i/>
          <w:iCs/>
          <w:lang w:val="nl-NL"/>
        </w:rPr>
        <w:t>ion</w:t>
      </w:r>
      <w:r w:rsidRPr="00CD4E37">
        <w:rPr>
          <w:b/>
          <w:bCs/>
          <w:i/>
          <w:iCs/>
          <w:lang w:val="nl-NL"/>
        </w:rPr>
        <w:t>-to-treat</w:t>
      </w:r>
      <w:r w:rsidRPr="00CD4E37">
        <w:rPr>
          <w:b/>
          <w:bCs/>
          <w:lang w:val="nl-NL"/>
        </w:rPr>
        <w:t>-</w:t>
      </w:r>
      <w:r w:rsidRPr="00CD4E37">
        <w:rPr>
          <w:b/>
          <w:bCs/>
          <w:i/>
          <w:iCs/>
          <w:lang w:val="nl-NL"/>
        </w:rPr>
        <w:t>populatie)</w:t>
      </w:r>
    </w:p>
    <w:tbl>
      <w:tblPr>
        <w:tblStyle w:val="Tabelraster"/>
        <w:tblW w:w="9065" w:type="dxa"/>
        <w:tblLook w:val="04A0" w:firstRow="1" w:lastRow="0" w:firstColumn="1" w:lastColumn="0" w:noHBand="0" w:noVBand="1"/>
      </w:tblPr>
      <w:tblGrid>
        <w:gridCol w:w="4565"/>
        <w:gridCol w:w="2250"/>
        <w:gridCol w:w="2250"/>
      </w:tblGrid>
      <w:tr w:rsidR="00285B13" w:rsidRPr="00CD4E37" w14:paraId="00ED03AE" w14:textId="77777777" w:rsidTr="00387A3F">
        <w:trPr>
          <w:trHeight w:val="590"/>
        </w:trPr>
        <w:tc>
          <w:tcPr>
            <w:tcW w:w="4565" w:type="dxa"/>
          </w:tcPr>
          <w:p w14:paraId="370A7CC7" w14:textId="77777777" w:rsidR="00285B13" w:rsidRPr="00CD4E37" w:rsidRDefault="00285B13" w:rsidP="00387A3F">
            <w:pPr>
              <w:tabs>
                <w:tab w:val="clear" w:pos="567"/>
              </w:tabs>
              <w:spacing w:line="240" w:lineRule="auto"/>
              <w:rPr>
                <w:lang w:val="nl-NL"/>
              </w:rPr>
            </w:pPr>
            <w:bookmarkStart w:id="36" w:name="_Hlk129190059"/>
            <w:bookmarkStart w:id="37" w:name="_Hlk128556807"/>
          </w:p>
        </w:tc>
        <w:tc>
          <w:tcPr>
            <w:tcW w:w="2250" w:type="dxa"/>
            <w:vAlign w:val="center"/>
          </w:tcPr>
          <w:p w14:paraId="2861C04D" w14:textId="77777777" w:rsidR="00285B13" w:rsidRPr="00CD4E37" w:rsidRDefault="00285B13" w:rsidP="00387A3F">
            <w:pPr>
              <w:tabs>
                <w:tab w:val="clear" w:pos="567"/>
              </w:tabs>
              <w:spacing w:line="240" w:lineRule="auto"/>
              <w:jc w:val="center"/>
              <w:rPr>
                <w:b/>
                <w:bCs/>
                <w:lang w:val="nl-NL"/>
              </w:rPr>
            </w:pPr>
            <w:r w:rsidRPr="00CD4E37">
              <w:rPr>
                <w:b/>
                <w:bCs/>
                <w:lang w:val="nl-NL"/>
              </w:rPr>
              <w:t>Quizartinib</w:t>
            </w:r>
          </w:p>
          <w:p w14:paraId="491B13ED" w14:textId="77777777" w:rsidR="00285B13" w:rsidRPr="00CD4E37" w:rsidRDefault="00285B13" w:rsidP="00387A3F">
            <w:pPr>
              <w:tabs>
                <w:tab w:val="clear" w:pos="567"/>
              </w:tabs>
              <w:spacing w:line="240" w:lineRule="auto"/>
              <w:jc w:val="center"/>
              <w:rPr>
                <w:b/>
                <w:bCs/>
                <w:lang w:val="nl-NL"/>
              </w:rPr>
            </w:pPr>
            <w:r w:rsidRPr="00CD4E37">
              <w:rPr>
                <w:b/>
                <w:bCs/>
                <w:lang w:val="nl-NL"/>
              </w:rPr>
              <w:t>N = 268</w:t>
            </w:r>
          </w:p>
        </w:tc>
        <w:tc>
          <w:tcPr>
            <w:tcW w:w="2250" w:type="dxa"/>
            <w:vAlign w:val="center"/>
          </w:tcPr>
          <w:p w14:paraId="2ED84FA7" w14:textId="77777777" w:rsidR="00285B13" w:rsidRPr="00CD4E37" w:rsidRDefault="00285B13" w:rsidP="00387A3F">
            <w:pPr>
              <w:tabs>
                <w:tab w:val="clear" w:pos="567"/>
              </w:tabs>
              <w:spacing w:line="240" w:lineRule="auto"/>
              <w:jc w:val="center"/>
              <w:rPr>
                <w:b/>
                <w:bCs/>
                <w:lang w:val="nl-NL"/>
              </w:rPr>
            </w:pPr>
            <w:r w:rsidRPr="00CD4E37">
              <w:rPr>
                <w:b/>
                <w:bCs/>
                <w:lang w:val="nl-NL"/>
              </w:rPr>
              <w:t>Placebo</w:t>
            </w:r>
          </w:p>
          <w:p w14:paraId="3B748A5E" w14:textId="77777777" w:rsidR="00285B13" w:rsidRPr="00CD4E37" w:rsidRDefault="00285B13" w:rsidP="00387A3F">
            <w:pPr>
              <w:tabs>
                <w:tab w:val="clear" w:pos="567"/>
              </w:tabs>
              <w:spacing w:line="240" w:lineRule="auto"/>
              <w:jc w:val="center"/>
              <w:rPr>
                <w:b/>
                <w:bCs/>
                <w:lang w:val="nl-NL"/>
              </w:rPr>
            </w:pPr>
            <w:r w:rsidRPr="00CD4E37">
              <w:rPr>
                <w:b/>
                <w:bCs/>
                <w:lang w:val="nl-NL"/>
              </w:rPr>
              <w:t>N = 271</w:t>
            </w:r>
          </w:p>
        </w:tc>
      </w:tr>
      <w:tr w:rsidR="00285B13" w:rsidRPr="00CD4E37" w14:paraId="2C797468" w14:textId="77777777" w:rsidTr="00387A3F">
        <w:trPr>
          <w:trHeight w:val="303"/>
        </w:trPr>
        <w:tc>
          <w:tcPr>
            <w:tcW w:w="9065" w:type="dxa"/>
            <w:gridSpan w:val="3"/>
          </w:tcPr>
          <w:p w14:paraId="1FB2E149" w14:textId="77777777" w:rsidR="00285B13" w:rsidRPr="00CD4E37" w:rsidRDefault="00285B13" w:rsidP="00387A3F">
            <w:pPr>
              <w:tabs>
                <w:tab w:val="clear" w:pos="567"/>
              </w:tabs>
              <w:spacing w:line="240" w:lineRule="auto"/>
              <w:rPr>
                <w:lang w:val="nl-NL"/>
              </w:rPr>
            </w:pPr>
            <w:r w:rsidRPr="00CD4E37">
              <w:rPr>
                <w:b/>
                <w:bCs/>
                <w:lang w:val="nl-NL"/>
              </w:rPr>
              <w:t>OS (maanden)</w:t>
            </w:r>
          </w:p>
        </w:tc>
      </w:tr>
      <w:tr w:rsidR="00285B13" w:rsidRPr="00CD4E37" w14:paraId="3BCDA3A4" w14:textId="77777777" w:rsidTr="00387A3F">
        <w:trPr>
          <w:trHeight w:val="289"/>
        </w:trPr>
        <w:tc>
          <w:tcPr>
            <w:tcW w:w="4565" w:type="dxa"/>
          </w:tcPr>
          <w:p w14:paraId="4A737250" w14:textId="77777777" w:rsidR="00285B13" w:rsidRPr="00CD4E37" w:rsidRDefault="00285B13" w:rsidP="00387A3F">
            <w:pPr>
              <w:tabs>
                <w:tab w:val="clear" w:pos="567"/>
              </w:tabs>
              <w:spacing w:line="240" w:lineRule="auto"/>
              <w:ind w:left="320"/>
              <w:rPr>
                <w:lang w:val="nl-NL"/>
              </w:rPr>
            </w:pPr>
            <w:r w:rsidRPr="00CD4E37">
              <w:rPr>
                <w:lang w:val="nl-NL"/>
              </w:rPr>
              <w:t>Mediaan (95%-BI)</w:t>
            </w:r>
            <w:r w:rsidRPr="00CD4E37">
              <w:rPr>
                <w:vertAlign w:val="superscript"/>
                <w:lang w:val="nl-NL"/>
              </w:rPr>
              <w:t>a</w:t>
            </w:r>
          </w:p>
        </w:tc>
        <w:tc>
          <w:tcPr>
            <w:tcW w:w="2250" w:type="dxa"/>
          </w:tcPr>
          <w:p w14:paraId="49F555EB" w14:textId="14D25366" w:rsidR="00285B13" w:rsidRPr="00CD4E37" w:rsidRDefault="00285B13" w:rsidP="00387A3F">
            <w:pPr>
              <w:tabs>
                <w:tab w:val="clear" w:pos="567"/>
              </w:tabs>
              <w:spacing w:line="240" w:lineRule="auto"/>
              <w:jc w:val="center"/>
              <w:rPr>
                <w:lang w:val="nl-NL"/>
              </w:rPr>
            </w:pPr>
            <w:r w:rsidRPr="00CD4E37">
              <w:rPr>
                <w:lang w:val="nl-NL"/>
              </w:rPr>
              <w:t xml:space="preserve">31,9 (21,0; </w:t>
            </w:r>
            <w:r w:rsidR="004A4448">
              <w:rPr>
                <w:lang w:val="nl-NL"/>
              </w:rPr>
              <w:t>NS</w:t>
            </w:r>
            <w:r w:rsidRPr="00CD4E37">
              <w:rPr>
                <w:lang w:val="nl-NL"/>
              </w:rPr>
              <w:t>)</w:t>
            </w:r>
          </w:p>
        </w:tc>
        <w:tc>
          <w:tcPr>
            <w:tcW w:w="2250" w:type="dxa"/>
          </w:tcPr>
          <w:p w14:paraId="63EDFB46" w14:textId="77777777" w:rsidR="00285B13" w:rsidRPr="00CD4E37" w:rsidRDefault="00285B13" w:rsidP="00387A3F">
            <w:pPr>
              <w:tabs>
                <w:tab w:val="clear" w:pos="567"/>
              </w:tabs>
              <w:spacing w:line="240" w:lineRule="auto"/>
              <w:jc w:val="center"/>
              <w:rPr>
                <w:lang w:val="nl-NL"/>
              </w:rPr>
            </w:pPr>
            <w:r w:rsidRPr="00CD4E37">
              <w:rPr>
                <w:lang w:val="nl-NL"/>
              </w:rPr>
              <w:t>15,1 (13,2; 26,2)</w:t>
            </w:r>
          </w:p>
        </w:tc>
      </w:tr>
      <w:tr w:rsidR="00285B13" w:rsidRPr="00CD4E37" w14:paraId="05D09270" w14:textId="77777777" w:rsidTr="00387A3F">
        <w:trPr>
          <w:trHeight w:val="289"/>
        </w:trPr>
        <w:tc>
          <w:tcPr>
            <w:tcW w:w="4565" w:type="dxa"/>
          </w:tcPr>
          <w:p w14:paraId="5B0BA40B" w14:textId="77777777" w:rsidR="00285B13" w:rsidRPr="00CD4E37" w:rsidRDefault="00285B13" w:rsidP="00387A3F">
            <w:pPr>
              <w:tabs>
                <w:tab w:val="clear" w:pos="567"/>
              </w:tabs>
              <w:spacing w:line="240" w:lineRule="auto"/>
              <w:ind w:left="320"/>
              <w:rPr>
                <w:lang w:val="nl-NL"/>
              </w:rPr>
            </w:pPr>
            <w:r w:rsidRPr="00CD4E37">
              <w:rPr>
                <w:lang w:val="nl-NL"/>
              </w:rPr>
              <w:t>HR</w:t>
            </w:r>
            <w:r w:rsidRPr="00CD4E37">
              <w:rPr>
                <w:vertAlign w:val="superscript"/>
                <w:lang w:val="nl-NL"/>
              </w:rPr>
              <w:t xml:space="preserve">b </w:t>
            </w:r>
            <w:r w:rsidRPr="00CD4E37">
              <w:rPr>
                <w:lang w:val="nl-NL"/>
              </w:rPr>
              <w:t>ten opzichte van placebo (95%-BI)</w:t>
            </w:r>
          </w:p>
        </w:tc>
        <w:tc>
          <w:tcPr>
            <w:tcW w:w="4500" w:type="dxa"/>
            <w:gridSpan w:val="2"/>
          </w:tcPr>
          <w:p w14:paraId="68A10F30" w14:textId="77777777" w:rsidR="00285B13" w:rsidRPr="00CD4E37" w:rsidRDefault="00285B13" w:rsidP="00387A3F">
            <w:pPr>
              <w:tabs>
                <w:tab w:val="clear" w:pos="567"/>
              </w:tabs>
              <w:spacing w:line="240" w:lineRule="auto"/>
              <w:jc w:val="center"/>
              <w:rPr>
                <w:lang w:val="nl-NL"/>
              </w:rPr>
            </w:pPr>
            <w:r w:rsidRPr="00CD4E37">
              <w:rPr>
                <w:szCs w:val="22"/>
                <w:lang w:val="nl-NL"/>
              </w:rPr>
              <w:t>0,776 (0,615; 0,979)</w:t>
            </w:r>
          </w:p>
        </w:tc>
      </w:tr>
      <w:tr w:rsidR="00285B13" w:rsidRPr="00CD4E37" w14:paraId="359C7188" w14:textId="77777777" w:rsidTr="00387A3F">
        <w:trPr>
          <w:trHeight w:val="289"/>
        </w:trPr>
        <w:tc>
          <w:tcPr>
            <w:tcW w:w="4565" w:type="dxa"/>
          </w:tcPr>
          <w:p w14:paraId="2D8E78AD" w14:textId="29DBF968" w:rsidR="00285B13" w:rsidRPr="00CD4E37" w:rsidRDefault="00E65187" w:rsidP="00387A3F">
            <w:pPr>
              <w:tabs>
                <w:tab w:val="clear" w:pos="567"/>
              </w:tabs>
              <w:spacing w:line="240" w:lineRule="auto"/>
              <w:ind w:left="320"/>
              <w:rPr>
                <w:lang w:val="nl-NL"/>
              </w:rPr>
            </w:pPr>
            <w:r w:rsidRPr="00CD4E37">
              <w:rPr>
                <w:lang w:val="nl-NL"/>
              </w:rPr>
              <w:t>p</w:t>
            </w:r>
            <w:r w:rsidR="00BA56F1" w:rsidRPr="00CD4E37">
              <w:rPr>
                <w:lang w:val="nl-NL"/>
              </w:rPr>
              <w:t>-</w:t>
            </w:r>
            <w:r w:rsidRPr="00CD4E37">
              <w:rPr>
                <w:lang w:val="nl-NL"/>
              </w:rPr>
              <w:t>waarde (twee</w:t>
            </w:r>
            <w:r w:rsidR="00285B13" w:rsidRPr="00CD4E37">
              <w:rPr>
                <w:lang w:val="nl-NL"/>
              </w:rPr>
              <w:t xml:space="preserve">zijdige </w:t>
            </w:r>
            <w:r w:rsidRPr="00CD4E37">
              <w:rPr>
                <w:lang w:val="nl-NL"/>
              </w:rPr>
              <w:t>gestratificeerde log</w:t>
            </w:r>
            <w:r w:rsidR="00BA56F1" w:rsidRPr="00CD4E37">
              <w:rPr>
                <w:lang w:val="nl-NL"/>
              </w:rPr>
              <w:t>-</w:t>
            </w:r>
            <w:r w:rsidRPr="00CD4E37">
              <w:rPr>
                <w:lang w:val="nl-NL"/>
              </w:rPr>
              <w:t>ranktoets)</w:t>
            </w:r>
          </w:p>
        </w:tc>
        <w:tc>
          <w:tcPr>
            <w:tcW w:w="4500" w:type="dxa"/>
            <w:gridSpan w:val="2"/>
          </w:tcPr>
          <w:p w14:paraId="4DB86235" w14:textId="77777777" w:rsidR="00285B13" w:rsidRPr="00CD4E37" w:rsidRDefault="00285B13" w:rsidP="00387A3F">
            <w:pPr>
              <w:tabs>
                <w:tab w:val="clear" w:pos="567"/>
              </w:tabs>
              <w:spacing w:line="240" w:lineRule="auto"/>
              <w:jc w:val="center"/>
              <w:rPr>
                <w:lang w:val="nl-NL"/>
              </w:rPr>
            </w:pPr>
            <w:r w:rsidRPr="00CD4E37">
              <w:rPr>
                <w:lang w:val="nl-NL"/>
              </w:rPr>
              <w:t>0,0324</w:t>
            </w:r>
          </w:p>
        </w:tc>
      </w:tr>
      <w:tr w:rsidR="00285B13" w:rsidRPr="00CD4E37" w14:paraId="4AD34E91" w14:textId="77777777" w:rsidTr="00387A3F">
        <w:trPr>
          <w:trHeight w:val="289"/>
        </w:trPr>
        <w:tc>
          <w:tcPr>
            <w:tcW w:w="9065" w:type="dxa"/>
            <w:gridSpan w:val="3"/>
          </w:tcPr>
          <w:p w14:paraId="4DBC45EC" w14:textId="77777777" w:rsidR="00285B13" w:rsidRPr="00CD4E37" w:rsidRDefault="00285B13" w:rsidP="00543664">
            <w:pPr>
              <w:tabs>
                <w:tab w:val="clear" w:pos="567"/>
              </w:tabs>
              <w:spacing w:line="240" w:lineRule="auto"/>
              <w:rPr>
                <w:b/>
                <w:bCs/>
                <w:lang w:val="nl-NL"/>
              </w:rPr>
            </w:pPr>
            <w:r w:rsidRPr="00CD4E37">
              <w:rPr>
                <w:b/>
                <w:bCs/>
                <w:szCs w:val="22"/>
                <w:lang w:val="nl-NL"/>
              </w:rPr>
              <w:t>Percentage OS (%) (95%</w:t>
            </w:r>
            <w:r w:rsidRPr="00CD4E37">
              <w:rPr>
                <w:b/>
                <w:bCs/>
                <w:lang w:val="nl-NL"/>
              </w:rPr>
              <w:t>-</w:t>
            </w:r>
            <w:r w:rsidRPr="00CD4E37">
              <w:rPr>
                <w:b/>
                <w:bCs/>
                <w:szCs w:val="22"/>
                <w:lang w:val="nl-NL"/>
              </w:rPr>
              <w:t>BI)</w:t>
            </w:r>
            <w:r w:rsidRPr="00CD4E37">
              <w:rPr>
                <w:b/>
                <w:bCs/>
                <w:vertAlign w:val="superscript"/>
                <w:lang w:val="nl-NL"/>
              </w:rPr>
              <w:t>a</w:t>
            </w:r>
          </w:p>
        </w:tc>
      </w:tr>
      <w:tr w:rsidR="00285B13" w:rsidRPr="00CD4E37" w14:paraId="6F29013A" w14:textId="77777777" w:rsidTr="00387A3F">
        <w:trPr>
          <w:trHeight w:val="289"/>
        </w:trPr>
        <w:tc>
          <w:tcPr>
            <w:tcW w:w="4565" w:type="dxa"/>
          </w:tcPr>
          <w:p w14:paraId="2779F6BB" w14:textId="77777777" w:rsidR="00285B13" w:rsidRPr="00CD4E37" w:rsidRDefault="00285B13" w:rsidP="00387A3F">
            <w:pPr>
              <w:tabs>
                <w:tab w:val="clear" w:pos="567"/>
              </w:tabs>
              <w:spacing w:line="240" w:lineRule="auto"/>
              <w:ind w:left="320"/>
              <w:rPr>
                <w:lang w:val="nl-NL"/>
              </w:rPr>
            </w:pPr>
            <w:r w:rsidRPr="00CD4E37">
              <w:rPr>
                <w:szCs w:val="22"/>
                <w:lang w:val="nl-NL"/>
              </w:rPr>
              <w:t>12 maanden</w:t>
            </w:r>
          </w:p>
        </w:tc>
        <w:tc>
          <w:tcPr>
            <w:tcW w:w="2250" w:type="dxa"/>
          </w:tcPr>
          <w:p w14:paraId="0CFB268C" w14:textId="77777777" w:rsidR="00285B13" w:rsidRPr="00CD4E37" w:rsidRDefault="00285B13" w:rsidP="00387A3F">
            <w:pPr>
              <w:tabs>
                <w:tab w:val="clear" w:pos="567"/>
              </w:tabs>
              <w:spacing w:line="240" w:lineRule="auto"/>
              <w:jc w:val="center"/>
              <w:rPr>
                <w:lang w:val="nl-NL"/>
              </w:rPr>
            </w:pPr>
            <w:r w:rsidRPr="00CD4E37">
              <w:rPr>
                <w:lang w:val="nl-NL"/>
              </w:rPr>
              <w:t>67,4 (61,3; 72,7)</w:t>
            </w:r>
          </w:p>
        </w:tc>
        <w:tc>
          <w:tcPr>
            <w:tcW w:w="2250" w:type="dxa"/>
          </w:tcPr>
          <w:p w14:paraId="1A028EB2" w14:textId="77777777" w:rsidR="00285B13" w:rsidRPr="00CD4E37" w:rsidRDefault="00285B13" w:rsidP="00387A3F">
            <w:pPr>
              <w:tabs>
                <w:tab w:val="clear" w:pos="567"/>
              </w:tabs>
              <w:spacing w:line="240" w:lineRule="auto"/>
              <w:jc w:val="center"/>
              <w:rPr>
                <w:lang w:val="nl-NL"/>
              </w:rPr>
            </w:pPr>
            <w:r w:rsidRPr="00CD4E37">
              <w:rPr>
                <w:lang w:val="nl-NL"/>
              </w:rPr>
              <w:t>57,7 (51,6; 63,4)</w:t>
            </w:r>
          </w:p>
        </w:tc>
      </w:tr>
      <w:tr w:rsidR="00285B13" w:rsidRPr="00CD4E37" w14:paraId="43D714A2" w14:textId="77777777" w:rsidTr="00387A3F">
        <w:trPr>
          <w:trHeight w:val="289"/>
        </w:trPr>
        <w:tc>
          <w:tcPr>
            <w:tcW w:w="4565" w:type="dxa"/>
          </w:tcPr>
          <w:p w14:paraId="1321019D" w14:textId="77777777" w:rsidR="00285B13" w:rsidRPr="00CD4E37" w:rsidRDefault="00285B13" w:rsidP="00387A3F">
            <w:pPr>
              <w:tabs>
                <w:tab w:val="clear" w:pos="567"/>
              </w:tabs>
              <w:spacing w:line="240" w:lineRule="auto"/>
              <w:ind w:left="320"/>
              <w:rPr>
                <w:lang w:val="nl-NL"/>
              </w:rPr>
            </w:pPr>
            <w:r w:rsidRPr="00CD4E37">
              <w:rPr>
                <w:szCs w:val="22"/>
                <w:lang w:val="nl-NL"/>
              </w:rPr>
              <w:t>24 maanden</w:t>
            </w:r>
          </w:p>
        </w:tc>
        <w:tc>
          <w:tcPr>
            <w:tcW w:w="2250" w:type="dxa"/>
          </w:tcPr>
          <w:p w14:paraId="74479B1B" w14:textId="77777777" w:rsidR="00285B13" w:rsidRPr="00CD4E37" w:rsidRDefault="00285B13" w:rsidP="00387A3F">
            <w:pPr>
              <w:tabs>
                <w:tab w:val="clear" w:pos="567"/>
              </w:tabs>
              <w:spacing w:line="240" w:lineRule="auto"/>
              <w:jc w:val="center"/>
              <w:rPr>
                <w:lang w:val="nl-NL"/>
              </w:rPr>
            </w:pPr>
            <w:r w:rsidRPr="00CD4E37">
              <w:rPr>
                <w:lang w:val="nl-NL"/>
              </w:rPr>
              <w:t>54,7 (48,4; 60,5)</w:t>
            </w:r>
          </w:p>
        </w:tc>
        <w:tc>
          <w:tcPr>
            <w:tcW w:w="2250" w:type="dxa"/>
          </w:tcPr>
          <w:p w14:paraId="7A16480D" w14:textId="77777777" w:rsidR="00285B13" w:rsidRPr="00CD4E37" w:rsidRDefault="00285B13" w:rsidP="00387A3F">
            <w:pPr>
              <w:tabs>
                <w:tab w:val="clear" w:pos="567"/>
              </w:tabs>
              <w:spacing w:line="240" w:lineRule="auto"/>
              <w:jc w:val="center"/>
              <w:rPr>
                <w:lang w:val="nl-NL"/>
              </w:rPr>
            </w:pPr>
            <w:r w:rsidRPr="00CD4E37">
              <w:rPr>
                <w:lang w:val="nl-NL"/>
              </w:rPr>
              <w:t>44,7 (38,7; 50,6)</w:t>
            </w:r>
          </w:p>
        </w:tc>
      </w:tr>
      <w:tr w:rsidR="00285B13" w:rsidRPr="00CD4E37" w14:paraId="716C4A77" w14:textId="77777777" w:rsidTr="00387A3F">
        <w:trPr>
          <w:trHeight w:val="289"/>
        </w:trPr>
        <w:tc>
          <w:tcPr>
            <w:tcW w:w="4565" w:type="dxa"/>
          </w:tcPr>
          <w:p w14:paraId="2D3F52B6" w14:textId="77777777" w:rsidR="00285B13" w:rsidRPr="00CD4E37" w:rsidRDefault="00285B13" w:rsidP="00387A3F">
            <w:pPr>
              <w:tabs>
                <w:tab w:val="clear" w:pos="567"/>
              </w:tabs>
              <w:spacing w:line="240" w:lineRule="auto"/>
              <w:ind w:left="320"/>
              <w:rPr>
                <w:lang w:val="nl-NL"/>
              </w:rPr>
            </w:pPr>
            <w:r w:rsidRPr="00CD4E37">
              <w:rPr>
                <w:szCs w:val="22"/>
                <w:lang w:val="nl-NL"/>
              </w:rPr>
              <w:t>36 maanden</w:t>
            </w:r>
          </w:p>
        </w:tc>
        <w:tc>
          <w:tcPr>
            <w:tcW w:w="2250" w:type="dxa"/>
          </w:tcPr>
          <w:p w14:paraId="7154CB02" w14:textId="77777777" w:rsidR="00285B13" w:rsidRPr="00CD4E37" w:rsidRDefault="00285B13" w:rsidP="00387A3F">
            <w:pPr>
              <w:tabs>
                <w:tab w:val="clear" w:pos="567"/>
              </w:tabs>
              <w:spacing w:line="240" w:lineRule="auto"/>
              <w:jc w:val="center"/>
              <w:rPr>
                <w:lang w:val="nl-NL"/>
              </w:rPr>
            </w:pPr>
            <w:r w:rsidRPr="00CD4E37">
              <w:rPr>
                <w:lang w:val="nl-NL"/>
              </w:rPr>
              <w:t>49,9 (43,7; 55,9)</w:t>
            </w:r>
          </w:p>
        </w:tc>
        <w:tc>
          <w:tcPr>
            <w:tcW w:w="2250" w:type="dxa"/>
          </w:tcPr>
          <w:p w14:paraId="5CFD0316" w14:textId="77777777" w:rsidR="00285B13" w:rsidRPr="00CD4E37" w:rsidRDefault="00285B13" w:rsidP="00387A3F">
            <w:pPr>
              <w:tabs>
                <w:tab w:val="clear" w:pos="567"/>
              </w:tabs>
              <w:spacing w:line="240" w:lineRule="auto"/>
              <w:jc w:val="center"/>
              <w:rPr>
                <w:lang w:val="nl-NL"/>
              </w:rPr>
            </w:pPr>
            <w:r w:rsidRPr="00CD4E37">
              <w:rPr>
                <w:lang w:val="nl-NL"/>
              </w:rPr>
              <w:t>41,1 (35,0; 47,0)</w:t>
            </w:r>
          </w:p>
        </w:tc>
      </w:tr>
      <w:tr w:rsidR="00285B13" w:rsidRPr="00CD4E37" w14:paraId="79A4C8BF" w14:textId="77777777" w:rsidTr="00387A3F">
        <w:trPr>
          <w:trHeight w:val="289"/>
        </w:trPr>
        <w:tc>
          <w:tcPr>
            <w:tcW w:w="4565" w:type="dxa"/>
          </w:tcPr>
          <w:p w14:paraId="6271B183" w14:textId="77777777" w:rsidR="00285B13" w:rsidRPr="00CD4E37" w:rsidRDefault="00285B13" w:rsidP="00387A3F">
            <w:pPr>
              <w:tabs>
                <w:tab w:val="clear" w:pos="567"/>
              </w:tabs>
              <w:spacing w:line="240" w:lineRule="auto"/>
              <w:ind w:left="320"/>
              <w:rPr>
                <w:lang w:val="nl-NL"/>
              </w:rPr>
            </w:pPr>
            <w:r w:rsidRPr="00CD4E37">
              <w:rPr>
                <w:szCs w:val="22"/>
                <w:lang w:val="nl-NL"/>
              </w:rPr>
              <w:t>48 maanden</w:t>
            </w:r>
          </w:p>
        </w:tc>
        <w:tc>
          <w:tcPr>
            <w:tcW w:w="2250" w:type="dxa"/>
          </w:tcPr>
          <w:p w14:paraId="3EB3D937" w14:textId="77777777" w:rsidR="00285B13" w:rsidRPr="00CD4E37" w:rsidRDefault="00285B13" w:rsidP="00387A3F">
            <w:pPr>
              <w:tabs>
                <w:tab w:val="clear" w:pos="567"/>
              </w:tabs>
              <w:spacing w:line="240" w:lineRule="auto"/>
              <w:jc w:val="center"/>
              <w:rPr>
                <w:lang w:val="nl-NL"/>
              </w:rPr>
            </w:pPr>
            <w:r w:rsidRPr="00CD4E37">
              <w:rPr>
                <w:lang w:val="nl-NL"/>
              </w:rPr>
              <w:t>48,4 (41,9; 54,5)</w:t>
            </w:r>
          </w:p>
        </w:tc>
        <w:tc>
          <w:tcPr>
            <w:tcW w:w="2250" w:type="dxa"/>
          </w:tcPr>
          <w:p w14:paraId="14A0D8AB" w14:textId="77777777" w:rsidR="00285B13" w:rsidRPr="00CD4E37" w:rsidRDefault="00285B13" w:rsidP="00387A3F">
            <w:pPr>
              <w:tabs>
                <w:tab w:val="clear" w:pos="567"/>
              </w:tabs>
              <w:spacing w:line="240" w:lineRule="auto"/>
              <w:jc w:val="center"/>
              <w:rPr>
                <w:lang w:val="nl-NL"/>
              </w:rPr>
            </w:pPr>
            <w:r w:rsidRPr="00CD4E37">
              <w:rPr>
                <w:lang w:val="nl-NL"/>
              </w:rPr>
              <w:t>37,0 (29,8; 44,2)</w:t>
            </w:r>
          </w:p>
        </w:tc>
      </w:tr>
    </w:tbl>
    <w:p w14:paraId="3C49727C" w14:textId="7B848FD1" w:rsidR="00285B13" w:rsidRPr="00CD4E37" w:rsidRDefault="00285B13" w:rsidP="00891282">
      <w:pPr>
        <w:keepNext/>
        <w:tabs>
          <w:tab w:val="clear" w:pos="567"/>
        </w:tabs>
        <w:spacing w:line="240" w:lineRule="auto"/>
        <w:ind w:left="142" w:hanging="142"/>
        <w:rPr>
          <w:strike/>
          <w:sz w:val="20"/>
          <w:lang w:val="nl-NL"/>
        </w:rPr>
      </w:pPr>
      <w:bookmarkStart w:id="38" w:name="_Hlk128556823"/>
      <w:bookmarkEnd w:id="36"/>
      <w:bookmarkEnd w:id="37"/>
      <w:r w:rsidRPr="00CD4E37">
        <w:rPr>
          <w:sz w:val="20"/>
          <w:lang w:val="nl-NL"/>
        </w:rPr>
        <w:t xml:space="preserve">BI = betrouwbaarheidsinterval; </w:t>
      </w:r>
      <w:r w:rsidR="00E65187" w:rsidRPr="00CD4E37">
        <w:rPr>
          <w:sz w:val="20"/>
          <w:lang w:val="nl-NL"/>
        </w:rPr>
        <w:t>NS = niet schatbaar</w:t>
      </w:r>
    </w:p>
    <w:p w14:paraId="68B9E120" w14:textId="77777777" w:rsidR="00285B13" w:rsidRPr="00CD4E37" w:rsidRDefault="00285B13" w:rsidP="00543664">
      <w:pPr>
        <w:tabs>
          <w:tab w:val="clear" w:pos="567"/>
        </w:tabs>
        <w:spacing w:line="240" w:lineRule="auto"/>
        <w:rPr>
          <w:sz w:val="20"/>
          <w:lang w:val="nl-NL"/>
        </w:rPr>
      </w:pPr>
      <w:r w:rsidRPr="00CD4E37">
        <w:rPr>
          <w:sz w:val="20"/>
          <w:vertAlign w:val="superscript"/>
          <w:lang w:val="nl-NL"/>
        </w:rPr>
        <w:t>a</w:t>
      </w:r>
      <w:r w:rsidRPr="00CD4E37">
        <w:rPr>
          <w:sz w:val="20"/>
          <w:lang w:val="nl-NL"/>
        </w:rPr>
        <w:t xml:space="preserve"> Schatting met behulp van de Kaplan-Meier-methode</w:t>
      </w:r>
    </w:p>
    <w:p w14:paraId="3DFE7FE9" w14:textId="77777777" w:rsidR="00285B13" w:rsidRPr="00CD4E37" w:rsidRDefault="00285B13" w:rsidP="00543664">
      <w:pPr>
        <w:tabs>
          <w:tab w:val="clear" w:pos="567"/>
        </w:tabs>
        <w:spacing w:line="240" w:lineRule="auto"/>
        <w:rPr>
          <w:sz w:val="20"/>
          <w:lang w:val="nl-NL"/>
        </w:rPr>
      </w:pPr>
      <w:r w:rsidRPr="00CD4E37">
        <w:rPr>
          <w:sz w:val="20"/>
          <w:vertAlign w:val="superscript"/>
          <w:lang w:val="nl-NL"/>
        </w:rPr>
        <w:t xml:space="preserve">b </w:t>
      </w:r>
      <w:r w:rsidRPr="00CD4E37">
        <w:rPr>
          <w:sz w:val="20"/>
          <w:lang w:val="nl-NL"/>
        </w:rPr>
        <w:t>Hazardratio (HR) was gebaseerd op een gestratificeerd Cox-regressiemodel.</w:t>
      </w:r>
    </w:p>
    <w:bookmarkEnd w:id="38"/>
    <w:p w14:paraId="65234656" w14:textId="77777777" w:rsidR="00285B13" w:rsidRPr="00CD4E37" w:rsidRDefault="00285B13" w:rsidP="00543664">
      <w:pPr>
        <w:tabs>
          <w:tab w:val="clear" w:pos="567"/>
        </w:tabs>
        <w:spacing w:line="240" w:lineRule="auto"/>
        <w:rPr>
          <w:lang w:val="nl-NL"/>
        </w:rPr>
      </w:pPr>
    </w:p>
    <w:p w14:paraId="154E3F9D" w14:textId="77777777" w:rsidR="00285B13" w:rsidRPr="00CD4E37" w:rsidRDefault="00285B13" w:rsidP="00891282">
      <w:pPr>
        <w:keepNext/>
        <w:tabs>
          <w:tab w:val="clear" w:pos="567"/>
        </w:tabs>
        <w:spacing w:line="240" w:lineRule="auto"/>
        <w:rPr>
          <w:b/>
          <w:bCs/>
          <w:lang w:val="nl-NL"/>
        </w:rPr>
      </w:pPr>
      <w:r w:rsidRPr="00CD4E37">
        <w:rPr>
          <w:b/>
          <w:bCs/>
          <w:lang w:val="nl-NL"/>
        </w:rPr>
        <w:t>Figuur 1: Kaplan-Meier-curves voor totale overleving in QuANTUM-First</w:t>
      </w:r>
    </w:p>
    <w:p w14:paraId="1875E9E6" w14:textId="04FF0013" w:rsidR="00702340" w:rsidRPr="00CD4E37" w:rsidRDefault="00D63B95" w:rsidP="00891282">
      <w:pPr>
        <w:tabs>
          <w:tab w:val="clear" w:pos="567"/>
        </w:tabs>
        <w:spacing w:line="240" w:lineRule="auto"/>
        <w:rPr>
          <w:szCs w:val="22"/>
          <w:lang w:val="nl-NL"/>
        </w:rPr>
      </w:pPr>
      <w:r w:rsidRPr="00CD4E37">
        <w:rPr>
          <w:bCs/>
          <w:noProof/>
          <w:lang w:val="nl-NL"/>
        </w:rPr>
        <w:drawing>
          <wp:inline distT="0" distB="0" distL="0" distR="0" wp14:anchorId="6E0D93D0" wp14:editId="1DCE0DF8">
            <wp:extent cx="5543550" cy="3733800"/>
            <wp:effectExtent l="0" t="0" r="0" b="0"/>
            <wp:docPr id="4" name="Picture 4" descr="A graph showing the size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showing the size of a number&#10;&#10;Description automatically generated"/>
                    <pic:cNvPicPr/>
                  </pic:nvPicPr>
                  <pic:blipFill rotWithShape="1">
                    <a:blip r:embed="rId13">
                      <a:extLst>
                        <a:ext uri="{28A0092B-C50C-407E-A947-70E740481C1C}">
                          <a14:useLocalDpi xmlns:a14="http://schemas.microsoft.com/office/drawing/2010/main" val="0"/>
                        </a:ext>
                      </a:extLst>
                    </a:blip>
                    <a:srcRect l="18676" t="15754" r="11608" b="760"/>
                    <a:stretch/>
                  </pic:blipFill>
                  <pic:spPr bwMode="auto">
                    <a:xfrm>
                      <a:off x="0" y="0"/>
                      <a:ext cx="5546588" cy="3735846"/>
                    </a:xfrm>
                    <a:prstGeom prst="rect">
                      <a:avLst/>
                    </a:prstGeom>
                    <a:ln>
                      <a:noFill/>
                    </a:ln>
                    <a:extLst>
                      <a:ext uri="{53640926-AAD7-44D8-BBD7-CCE9431645EC}">
                        <a14:shadowObscured xmlns:a14="http://schemas.microsoft.com/office/drawing/2010/main"/>
                      </a:ext>
                    </a:extLst>
                  </pic:spPr>
                </pic:pic>
              </a:graphicData>
            </a:graphic>
          </wp:inline>
        </w:drawing>
      </w:r>
    </w:p>
    <w:p w14:paraId="2A54CA94" w14:textId="77777777" w:rsidR="00285B13" w:rsidRPr="00CD4E37" w:rsidRDefault="00285B13" w:rsidP="00891282">
      <w:pPr>
        <w:tabs>
          <w:tab w:val="clear" w:pos="567"/>
        </w:tabs>
        <w:spacing w:line="240" w:lineRule="auto"/>
        <w:rPr>
          <w:szCs w:val="22"/>
          <w:lang w:val="nl-NL"/>
        </w:rPr>
      </w:pPr>
    </w:p>
    <w:p w14:paraId="585952A4"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Pediatrische patiënten</w:t>
      </w:r>
    </w:p>
    <w:p w14:paraId="75C450D1" w14:textId="77777777" w:rsidR="00285B13" w:rsidRPr="00CD4E37" w:rsidRDefault="00285B13" w:rsidP="00891282">
      <w:pPr>
        <w:keepNext/>
        <w:tabs>
          <w:tab w:val="clear" w:pos="567"/>
        </w:tabs>
        <w:spacing w:line="240" w:lineRule="auto"/>
        <w:rPr>
          <w:szCs w:val="22"/>
          <w:lang w:val="nl-NL"/>
        </w:rPr>
      </w:pPr>
    </w:p>
    <w:p w14:paraId="075D49B5" w14:textId="77777777" w:rsidR="00285B13" w:rsidRPr="00CD4E37" w:rsidRDefault="00285B13" w:rsidP="00891282">
      <w:pPr>
        <w:tabs>
          <w:tab w:val="clear" w:pos="567"/>
        </w:tabs>
        <w:spacing w:line="240" w:lineRule="auto"/>
        <w:rPr>
          <w:szCs w:val="22"/>
          <w:lang w:val="nl-NL"/>
        </w:rPr>
      </w:pPr>
      <w:r w:rsidRPr="00CD4E37">
        <w:rPr>
          <w:szCs w:val="22"/>
          <w:lang w:val="nl-NL"/>
        </w:rPr>
        <w:t>Het Europees Geneesmiddelenbureau heeft besloten tot uitstel van de verplichting voor de fabrikant om de resultaten in te dienen van onderzoek met VANFLYTA in een of meerdere subgroepen van pediatrische patiënten bij de behandeling van acute myeloïde leukemie (zie rubriek 4.2 voor informatie over pediatrisch gebruik).</w:t>
      </w:r>
    </w:p>
    <w:bookmarkEnd w:id="33"/>
    <w:p w14:paraId="20E147E6" w14:textId="77777777" w:rsidR="00285B13" w:rsidRPr="00CD4E37" w:rsidRDefault="00285B13" w:rsidP="00891282">
      <w:pPr>
        <w:tabs>
          <w:tab w:val="clear" w:pos="567"/>
        </w:tabs>
        <w:spacing w:line="240" w:lineRule="auto"/>
        <w:rPr>
          <w:szCs w:val="22"/>
          <w:lang w:val="nl-NL"/>
        </w:rPr>
      </w:pPr>
    </w:p>
    <w:p w14:paraId="7D8FFD4C" w14:textId="77777777" w:rsidR="00285B13" w:rsidRPr="00CD4E37" w:rsidRDefault="00285B13" w:rsidP="00891282">
      <w:pPr>
        <w:keepNext/>
        <w:spacing w:line="240" w:lineRule="auto"/>
        <w:rPr>
          <w:b/>
          <w:szCs w:val="22"/>
          <w:lang w:val="nl-NL"/>
        </w:rPr>
      </w:pPr>
      <w:r w:rsidRPr="00CD4E37">
        <w:rPr>
          <w:b/>
          <w:bCs/>
          <w:szCs w:val="22"/>
          <w:lang w:val="nl-NL"/>
        </w:rPr>
        <w:t>5.2</w:t>
      </w:r>
      <w:r w:rsidRPr="00CD4E37">
        <w:rPr>
          <w:b/>
          <w:bCs/>
          <w:szCs w:val="22"/>
          <w:lang w:val="nl-NL"/>
        </w:rPr>
        <w:tab/>
        <w:t>Farmacokinetische eigenschappen</w:t>
      </w:r>
    </w:p>
    <w:p w14:paraId="17F53609" w14:textId="77777777" w:rsidR="00285B13" w:rsidRPr="00CD4E37" w:rsidRDefault="00285B13" w:rsidP="00891282">
      <w:pPr>
        <w:keepNext/>
        <w:tabs>
          <w:tab w:val="clear" w:pos="567"/>
        </w:tabs>
        <w:spacing w:line="240" w:lineRule="auto"/>
        <w:rPr>
          <w:szCs w:val="22"/>
          <w:lang w:val="nl-NL"/>
        </w:rPr>
      </w:pPr>
    </w:p>
    <w:p w14:paraId="3526C0A0" w14:textId="77777777" w:rsidR="00285B13" w:rsidRPr="00CD4E37" w:rsidRDefault="00285B13" w:rsidP="00891282">
      <w:pPr>
        <w:tabs>
          <w:tab w:val="clear" w:pos="567"/>
        </w:tabs>
        <w:spacing w:line="240" w:lineRule="auto"/>
        <w:rPr>
          <w:szCs w:val="22"/>
          <w:lang w:val="nl-NL"/>
        </w:rPr>
      </w:pPr>
      <w:r w:rsidRPr="00CD4E37">
        <w:rPr>
          <w:szCs w:val="22"/>
          <w:lang w:val="nl-NL"/>
        </w:rPr>
        <w:t>De farmacokinetiek van quizartinib en zijn actieve metaboliet AC886 zijn geëvalueerd bij gezonde volwassen proefpersonen (een enkele dosis) en bij patiënten met nieuw gediagnosticeerde AML (</w:t>
      </w:r>
      <w:r w:rsidRPr="00CD4E37">
        <w:rPr>
          <w:i/>
          <w:iCs/>
          <w:szCs w:val="22"/>
          <w:lang w:val="nl-NL"/>
        </w:rPr>
        <w:t>steady</w:t>
      </w:r>
      <w:r w:rsidRPr="00CD4E37">
        <w:rPr>
          <w:szCs w:val="22"/>
          <w:lang w:val="nl-NL"/>
        </w:rPr>
        <w:t> </w:t>
      </w:r>
      <w:r w:rsidRPr="00CD4E37">
        <w:rPr>
          <w:i/>
          <w:iCs/>
          <w:szCs w:val="22"/>
          <w:lang w:val="nl-NL"/>
        </w:rPr>
        <w:t>state</w:t>
      </w:r>
      <w:r w:rsidRPr="00CD4E37">
        <w:rPr>
          <w:szCs w:val="22"/>
          <w:lang w:val="nl-NL"/>
        </w:rPr>
        <w:t>).</w:t>
      </w:r>
    </w:p>
    <w:p w14:paraId="2AB88D4C" w14:textId="77777777" w:rsidR="00285B13" w:rsidRPr="00CD4E37" w:rsidRDefault="00285B13" w:rsidP="00891282">
      <w:pPr>
        <w:tabs>
          <w:tab w:val="clear" w:pos="567"/>
        </w:tabs>
        <w:spacing w:line="240" w:lineRule="auto"/>
        <w:rPr>
          <w:szCs w:val="22"/>
          <w:lang w:val="nl-NL"/>
        </w:rPr>
      </w:pPr>
    </w:p>
    <w:p w14:paraId="051167EB"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Absorptie</w:t>
      </w:r>
    </w:p>
    <w:p w14:paraId="07CC448B" w14:textId="77777777" w:rsidR="00285B13" w:rsidRPr="00CD4E37" w:rsidRDefault="00285B13" w:rsidP="00891282">
      <w:pPr>
        <w:keepNext/>
        <w:tabs>
          <w:tab w:val="clear" w:pos="567"/>
        </w:tabs>
        <w:spacing w:line="240" w:lineRule="auto"/>
        <w:rPr>
          <w:szCs w:val="22"/>
          <w:lang w:val="nl-NL"/>
        </w:rPr>
      </w:pPr>
    </w:p>
    <w:p w14:paraId="426E3561" w14:textId="77777777" w:rsidR="00285B13" w:rsidRPr="00CD4E37" w:rsidRDefault="00285B13" w:rsidP="00891282">
      <w:pPr>
        <w:tabs>
          <w:tab w:val="clear" w:pos="567"/>
        </w:tabs>
        <w:spacing w:line="240" w:lineRule="auto"/>
        <w:rPr>
          <w:szCs w:val="22"/>
          <w:lang w:val="nl-NL"/>
        </w:rPr>
      </w:pPr>
      <w:r w:rsidRPr="00CD4E37">
        <w:rPr>
          <w:lang w:val="nl-NL"/>
        </w:rPr>
        <w:t xml:space="preserve">De absolute biologische beschikbaarheid van quizartinib uit de tabletformulering was 71%. </w:t>
      </w:r>
      <w:r w:rsidRPr="00CD4E37">
        <w:rPr>
          <w:szCs w:val="22"/>
          <w:lang w:val="nl-NL"/>
        </w:rPr>
        <w:t>Na orale toediening aan gezonde proefpersonen in nuchtere toestand bedroeg de tijd tot de piekconcentratie (mediane t</w:t>
      </w:r>
      <w:r w:rsidRPr="00CD4E37">
        <w:rPr>
          <w:szCs w:val="22"/>
          <w:vertAlign w:val="subscript"/>
          <w:lang w:val="nl-NL"/>
        </w:rPr>
        <w:t>max</w:t>
      </w:r>
      <w:r w:rsidRPr="00CD4E37">
        <w:rPr>
          <w:szCs w:val="22"/>
          <w:lang w:val="nl-NL"/>
        </w:rPr>
        <w:t>) van quizartinib en AC886, gemeten na toediening van de dosis, respectievelijk ongeveer 4 uur (spreiding: 2 tot 8 uur) en 5 tot 6 uur (spreiding: 4 tot 120 uur).</w:t>
      </w:r>
    </w:p>
    <w:p w14:paraId="19029C83" w14:textId="77777777" w:rsidR="00285B13" w:rsidRPr="00CD4E37" w:rsidRDefault="00285B13" w:rsidP="00891282">
      <w:pPr>
        <w:tabs>
          <w:tab w:val="clear" w:pos="567"/>
        </w:tabs>
        <w:spacing w:line="240" w:lineRule="auto"/>
        <w:rPr>
          <w:szCs w:val="22"/>
          <w:lang w:val="nl-NL"/>
        </w:rPr>
      </w:pPr>
    </w:p>
    <w:p w14:paraId="143B1201" w14:textId="3176978F" w:rsidR="00285B13" w:rsidRPr="00CD4E37" w:rsidRDefault="00285B13" w:rsidP="00891282">
      <w:pPr>
        <w:tabs>
          <w:tab w:val="clear" w:pos="567"/>
        </w:tabs>
        <w:spacing w:line="240" w:lineRule="auto"/>
        <w:rPr>
          <w:szCs w:val="22"/>
          <w:lang w:val="nl-NL"/>
        </w:rPr>
      </w:pPr>
      <w:r w:rsidRPr="00CD4E37">
        <w:rPr>
          <w:szCs w:val="22"/>
          <w:lang w:val="nl-NL"/>
        </w:rPr>
        <w:t>De toediening van quizartinib met voedsel, aan gezonde proefpersonen, leidde tot een afname van de C</w:t>
      </w:r>
      <w:r w:rsidRPr="00CD4E37">
        <w:rPr>
          <w:szCs w:val="22"/>
          <w:vertAlign w:val="subscript"/>
          <w:lang w:val="nl-NL"/>
        </w:rPr>
        <w:t>max</w:t>
      </w:r>
      <w:r w:rsidRPr="00CD4E37">
        <w:rPr>
          <w:szCs w:val="22"/>
          <w:lang w:val="nl-NL"/>
        </w:rPr>
        <w:t xml:space="preserve"> van quizartinib met </w:t>
      </w:r>
      <w:r w:rsidR="00317F2E" w:rsidRPr="00CD4E37">
        <w:rPr>
          <w:szCs w:val="22"/>
          <w:lang w:val="nl-NL"/>
        </w:rPr>
        <w:t>een factor 1,09</w:t>
      </w:r>
      <w:r w:rsidRPr="00CD4E37">
        <w:rPr>
          <w:szCs w:val="22"/>
          <w:lang w:val="nl-NL"/>
        </w:rPr>
        <w:t>, een toename van de AUC</w:t>
      </w:r>
      <w:r w:rsidRPr="00CD4E37">
        <w:rPr>
          <w:szCs w:val="22"/>
          <w:vertAlign w:val="subscript"/>
          <w:lang w:val="nl-NL"/>
        </w:rPr>
        <w:t>inf</w:t>
      </w:r>
      <w:r w:rsidRPr="00CD4E37">
        <w:rPr>
          <w:szCs w:val="22"/>
          <w:lang w:val="nl-NL"/>
        </w:rPr>
        <w:t xml:space="preserve"> met </w:t>
      </w:r>
      <w:r w:rsidR="00317F2E" w:rsidRPr="00CD4E37">
        <w:rPr>
          <w:szCs w:val="22"/>
          <w:lang w:val="nl-NL"/>
        </w:rPr>
        <w:t>een factor 1,08</w:t>
      </w:r>
      <w:r w:rsidRPr="00CD4E37">
        <w:rPr>
          <w:szCs w:val="22"/>
          <w:lang w:val="nl-NL"/>
        </w:rPr>
        <w:t xml:space="preserve"> en de t</w:t>
      </w:r>
      <w:r w:rsidRPr="00CD4E37">
        <w:rPr>
          <w:szCs w:val="22"/>
          <w:vertAlign w:val="subscript"/>
          <w:lang w:val="nl-NL"/>
        </w:rPr>
        <w:t xml:space="preserve">max </w:t>
      </w:r>
      <w:r w:rsidRPr="00CD4E37">
        <w:rPr>
          <w:szCs w:val="22"/>
          <w:lang w:val="nl-NL"/>
        </w:rPr>
        <w:t>werd twee uur later bereikt. Deze veranderingen in blootstelling worden niet beschouwd als klinisch relevant. VANFLYTA kan met of zonder voedsel worden toegediend.</w:t>
      </w:r>
    </w:p>
    <w:p w14:paraId="392E5D9F" w14:textId="77777777" w:rsidR="00285B13" w:rsidRPr="00CD4E37" w:rsidRDefault="00285B13" w:rsidP="00891282">
      <w:pPr>
        <w:tabs>
          <w:tab w:val="clear" w:pos="567"/>
        </w:tabs>
        <w:spacing w:line="240" w:lineRule="auto"/>
        <w:rPr>
          <w:szCs w:val="22"/>
          <w:lang w:val="nl-NL"/>
        </w:rPr>
      </w:pPr>
    </w:p>
    <w:p w14:paraId="7189E8C8" w14:textId="0CB31C2F" w:rsidR="00CF1453" w:rsidRPr="00CD4E37" w:rsidRDefault="00285B13" w:rsidP="00891282">
      <w:pPr>
        <w:tabs>
          <w:tab w:val="clear" w:pos="567"/>
        </w:tabs>
        <w:spacing w:line="240" w:lineRule="auto"/>
        <w:rPr>
          <w:szCs w:val="22"/>
          <w:lang w:val="nl-NL"/>
        </w:rPr>
      </w:pPr>
      <w:r w:rsidRPr="00CD4E37">
        <w:rPr>
          <w:szCs w:val="24"/>
          <w:lang w:val="nl-NL"/>
        </w:rPr>
        <w:t>Op basis van farmacokinetische populatiemodellering</w:t>
      </w:r>
      <w:r w:rsidRPr="00CD4E37">
        <w:rPr>
          <w:szCs w:val="22"/>
          <w:lang w:val="nl-NL"/>
        </w:rPr>
        <w:t xml:space="preserve"> </w:t>
      </w:r>
      <w:r w:rsidR="00E30852" w:rsidRPr="00CD4E37">
        <w:rPr>
          <w:szCs w:val="22"/>
          <w:lang w:val="nl-NL"/>
        </w:rPr>
        <w:t>bij patiënten die nieuw gediagnosticeerd zijn met AML</w:t>
      </w:r>
      <w:r w:rsidR="00E30852" w:rsidRPr="00CD4E37">
        <w:rPr>
          <w:lang w:val="nl-NL"/>
        </w:rPr>
        <w:t xml:space="preserve"> </w:t>
      </w:r>
      <w:r w:rsidR="00CF1453" w:rsidRPr="00CD4E37">
        <w:rPr>
          <w:lang w:val="nl-NL"/>
        </w:rPr>
        <w:t xml:space="preserve">is </w:t>
      </w:r>
      <w:r w:rsidR="00E30852" w:rsidRPr="00CD4E37">
        <w:rPr>
          <w:szCs w:val="22"/>
          <w:lang w:val="nl-NL"/>
        </w:rPr>
        <w:t>bij 35,</w:t>
      </w:r>
      <w:r w:rsidR="00E30852" w:rsidRPr="00CD4E37">
        <w:rPr>
          <w:lang w:val="nl-NL"/>
        </w:rPr>
        <w:t xml:space="preserve">4 mg/dag en </w:t>
      </w:r>
      <w:r w:rsidR="00E30852" w:rsidRPr="00CD4E37">
        <w:rPr>
          <w:i/>
          <w:iCs/>
          <w:szCs w:val="22"/>
          <w:lang w:val="nl-NL"/>
        </w:rPr>
        <w:t>steady state</w:t>
      </w:r>
      <w:r w:rsidR="00E30852" w:rsidRPr="00CD4E37">
        <w:rPr>
          <w:szCs w:val="22"/>
          <w:lang w:val="nl-NL"/>
        </w:rPr>
        <w:t xml:space="preserve"> tijdens inductietherapie</w:t>
      </w:r>
      <w:r w:rsidR="00E30852" w:rsidRPr="00CD4E37">
        <w:rPr>
          <w:lang w:val="nl-NL"/>
        </w:rPr>
        <w:t xml:space="preserve"> </w:t>
      </w:r>
      <w:r w:rsidR="00CF1453" w:rsidRPr="00CD4E37">
        <w:rPr>
          <w:lang w:val="nl-NL"/>
        </w:rPr>
        <w:t>het geometrisch gemiddelde (%CV) van de C</w:t>
      </w:r>
      <w:r w:rsidR="00CF1453" w:rsidRPr="00CD4E37">
        <w:rPr>
          <w:vertAlign w:val="subscript"/>
          <w:lang w:val="nl-NL"/>
        </w:rPr>
        <w:t>max</w:t>
      </w:r>
      <w:r w:rsidR="00CF1453" w:rsidRPr="00CD4E37">
        <w:rPr>
          <w:lang w:val="nl-NL"/>
        </w:rPr>
        <w:t xml:space="preserve"> van quizartinib en AC886 geschat op respectievelijk 140 ng/ml (71%) en 163 ng/ml (52%), en was het geometrisch gemiddelde (%CV) van de AUC</w:t>
      </w:r>
      <w:r w:rsidR="00CF1453" w:rsidRPr="00CD4E37">
        <w:rPr>
          <w:vertAlign w:val="subscript"/>
          <w:lang w:val="nl-NL"/>
        </w:rPr>
        <w:t>0-24u</w:t>
      </w:r>
      <w:r w:rsidR="00CF1453" w:rsidRPr="00CD4E37">
        <w:rPr>
          <w:lang w:val="nl-NL"/>
        </w:rPr>
        <w:t xml:space="preserve"> respectievelijk 2.680</w:t>
      </w:r>
      <w:r w:rsidR="00CF1453" w:rsidRPr="00CD4E37">
        <w:rPr>
          <w:szCs w:val="22"/>
          <w:lang w:val="nl-NL"/>
        </w:rPr>
        <w:t> ng•uur/ml (85%) en 3.590 ng•uur/ml (51%).</w:t>
      </w:r>
    </w:p>
    <w:p w14:paraId="7D47278D" w14:textId="77777777" w:rsidR="00CF1453" w:rsidRPr="00CD4E37" w:rsidRDefault="00CF1453" w:rsidP="00891282">
      <w:pPr>
        <w:tabs>
          <w:tab w:val="clear" w:pos="567"/>
        </w:tabs>
        <w:spacing w:line="240" w:lineRule="auto"/>
        <w:rPr>
          <w:szCs w:val="22"/>
          <w:lang w:val="nl-NL"/>
        </w:rPr>
      </w:pPr>
    </w:p>
    <w:p w14:paraId="45E12BE8" w14:textId="42C80E62" w:rsidR="000B2C14" w:rsidRPr="00CD4E37" w:rsidRDefault="000B2C14" w:rsidP="00891282">
      <w:pPr>
        <w:tabs>
          <w:tab w:val="clear" w:pos="567"/>
        </w:tabs>
        <w:spacing w:line="240" w:lineRule="auto"/>
        <w:rPr>
          <w:szCs w:val="22"/>
          <w:lang w:val="nl-NL"/>
        </w:rPr>
      </w:pPr>
      <w:r w:rsidRPr="00CD4E37">
        <w:rPr>
          <w:lang w:val="nl-NL"/>
        </w:rPr>
        <w:t xml:space="preserve">Tijdens consolidatietherapie bij 35,4 mg/dag en </w:t>
      </w:r>
      <w:r w:rsidRPr="00CD4E37">
        <w:rPr>
          <w:i/>
          <w:iCs/>
          <w:lang w:val="nl-NL"/>
        </w:rPr>
        <w:t>steady state</w:t>
      </w:r>
      <w:r w:rsidRPr="00CD4E37">
        <w:rPr>
          <w:lang w:val="nl-NL"/>
        </w:rPr>
        <w:t xml:space="preserve"> is h</w:t>
      </w:r>
      <w:r w:rsidR="00CF1453" w:rsidRPr="00CD4E37">
        <w:rPr>
          <w:lang w:val="nl-NL"/>
        </w:rPr>
        <w:t>et geometrisch gemiddelde (%CV) van de C</w:t>
      </w:r>
      <w:r w:rsidR="00CF1453" w:rsidRPr="00CD4E37">
        <w:rPr>
          <w:vertAlign w:val="subscript"/>
          <w:lang w:val="nl-NL"/>
        </w:rPr>
        <w:t>max</w:t>
      </w:r>
      <w:r w:rsidR="00CF1453" w:rsidRPr="00CD4E37">
        <w:rPr>
          <w:lang w:val="nl-NL"/>
        </w:rPr>
        <w:t xml:space="preserve"> van quizartinib en AC886 geschat op respectievelijk 204 ng/ml (64%) en 172 ng/ml (47%), en </w:t>
      </w:r>
      <w:r w:rsidRPr="00CD4E37">
        <w:rPr>
          <w:lang w:val="nl-NL"/>
        </w:rPr>
        <w:t xml:space="preserve">was </w:t>
      </w:r>
      <w:r w:rsidR="00CF1453" w:rsidRPr="00CD4E37">
        <w:rPr>
          <w:lang w:val="nl-NL"/>
        </w:rPr>
        <w:t>het geometrisch gemiddelde (%CV) van de AUC</w:t>
      </w:r>
      <w:r w:rsidR="00CF1453" w:rsidRPr="00CD4E37">
        <w:rPr>
          <w:vertAlign w:val="subscript"/>
          <w:lang w:val="nl-NL"/>
        </w:rPr>
        <w:t>0-24u</w:t>
      </w:r>
      <w:r w:rsidR="00CF1453" w:rsidRPr="00CD4E37">
        <w:rPr>
          <w:lang w:val="nl-NL"/>
        </w:rPr>
        <w:t xml:space="preserve"> respectievelijk 3</w:t>
      </w:r>
      <w:r w:rsidR="00CC3683" w:rsidRPr="00CD4E37">
        <w:rPr>
          <w:lang w:val="nl-NL"/>
        </w:rPr>
        <w:t>.</w:t>
      </w:r>
      <w:r w:rsidR="00CF1453" w:rsidRPr="00CD4E37">
        <w:rPr>
          <w:lang w:val="nl-NL"/>
        </w:rPr>
        <w:t>930</w:t>
      </w:r>
      <w:r w:rsidR="00CF1453" w:rsidRPr="00CD4E37">
        <w:rPr>
          <w:szCs w:val="22"/>
          <w:lang w:val="nl-NL"/>
        </w:rPr>
        <w:t> ng•uur/ml (78%) en 3.800 ng•uur/ml (46%)</w:t>
      </w:r>
      <w:r w:rsidRPr="00CD4E37">
        <w:rPr>
          <w:szCs w:val="22"/>
          <w:lang w:val="nl-NL"/>
        </w:rPr>
        <w:t>.</w:t>
      </w:r>
    </w:p>
    <w:p w14:paraId="4A007C77" w14:textId="77777777" w:rsidR="000B2C14" w:rsidRPr="00CD4E37" w:rsidRDefault="000B2C14" w:rsidP="00891282">
      <w:pPr>
        <w:tabs>
          <w:tab w:val="clear" w:pos="567"/>
        </w:tabs>
        <w:spacing w:line="240" w:lineRule="auto"/>
        <w:rPr>
          <w:szCs w:val="22"/>
          <w:lang w:val="nl-NL"/>
        </w:rPr>
      </w:pPr>
    </w:p>
    <w:p w14:paraId="42CA6B83" w14:textId="4BB98C20" w:rsidR="00285B13" w:rsidRPr="00CD4E37" w:rsidRDefault="000B2C14" w:rsidP="00891282">
      <w:pPr>
        <w:tabs>
          <w:tab w:val="clear" w:pos="567"/>
        </w:tabs>
        <w:spacing w:line="240" w:lineRule="auto"/>
        <w:rPr>
          <w:szCs w:val="22"/>
          <w:lang w:val="nl-NL"/>
        </w:rPr>
      </w:pPr>
      <w:r w:rsidRPr="00CD4E37">
        <w:rPr>
          <w:lang w:val="nl-NL"/>
        </w:rPr>
        <w:t>Tijdens onderhoudstherapie bij 53 mg/dag</w:t>
      </w:r>
      <w:r w:rsidR="00285B13" w:rsidRPr="00CD4E37">
        <w:rPr>
          <w:lang w:val="nl-NL"/>
        </w:rPr>
        <w:t xml:space="preserve"> </w:t>
      </w:r>
      <w:r w:rsidRPr="00CD4E37">
        <w:rPr>
          <w:lang w:val="nl-NL"/>
        </w:rPr>
        <w:t xml:space="preserve">en </w:t>
      </w:r>
      <w:r w:rsidRPr="00CD4E37">
        <w:rPr>
          <w:i/>
          <w:iCs/>
          <w:lang w:val="nl-NL"/>
        </w:rPr>
        <w:t>steady state</w:t>
      </w:r>
      <w:r w:rsidRPr="00CD4E37">
        <w:rPr>
          <w:lang w:val="nl-NL"/>
        </w:rPr>
        <w:t xml:space="preserve"> </w:t>
      </w:r>
      <w:r w:rsidR="00285B13" w:rsidRPr="00CD4E37">
        <w:rPr>
          <w:lang w:val="nl-NL"/>
        </w:rPr>
        <w:t>is het</w:t>
      </w:r>
      <w:r w:rsidR="00285B13" w:rsidRPr="00CD4E37">
        <w:rPr>
          <w:szCs w:val="22"/>
          <w:lang w:val="nl-NL"/>
        </w:rPr>
        <w:t xml:space="preserve"> geometrisch gemiddelde (%CV) van de C</w:t>
      </w:r>
      <w:r w:rsidR="00285B13" w:rsidRPr="00CD4E37">
        <w:rPr>
          <w:szCs w:val="22"/>
          <w:vertAlign w:val="subscript"/>
          <w:lang w:val="nl-NL"/>
        </w:rPr>
        <w:t>max</w:t>
      </w:r>
      <w:r w:rsidR="00285B13" w:rsidRPr="00CD4E37">
        <w:rPr>
          <w:szCs w:val="22"/>
          <w:lang w:val="nl-NL"/>
        </w:rPr>
        <w:t xml:space="preserve"> van quizartinib en</w:t>
      </w:r>
      <w:r w:rsidR="00285B13" w:rsidRPr="00CD4E37">
        <w:rPr>
          <w:szCs w:val="22"/>
          <w:vertAlign w:val="subscript"/>
          <w:lang w:val="nl-NL"/>
        </w:rPr>
        <w:t xml:space="preserve"> </w:t>
      </w:r>
      <w:r w:rsidR="00285B13" w:rsidRPr="00CD4E37">
        <w:rPr>
          <w:szCs w:val="22"/>
          <w:lang w:val="nl-NL"/>
        </w:rPr>
        <w:t>AC886 geschat op respectievelijk 529 ng/ml (60%) en 262 ng/ml (48%), en was het geometrisch gemiddelde (%CV) van de AUC</w:t>
      </w:r>
      <w:r w:rsidR="00285B13" w:rsidRPr="00CD4E37">
        <w:rPr>
          <w:szCs w:val="22"/>
          <w:vertAlign w:val="subscript"/>
          <w:lang w:val="nl-NL"/>
        </w:rPr>
        <w:t>0-24u</w:t>
      </w:r>
      <w:r w:rsidR="00285B13" w:rsidRPr="00CD4E37">
        <w:rPr>
          <w:szCs w:val="22"/>
          <w:lang w:val="nl-NL"/>
        </w:rPr>
        <w:t xml:space="preserve"> respectievelijk </w:t>
      </w:r>
      <w:bookmarkStart w:id="39" w:name="_Hlk138608585"/>
      <w:r w:rsidR="00285B13" w:rsidRPr="00CD4E37">
        <w:rPr>
          <w:szCs w:val="22"/>
          <w:lang w:val="nl-NL"/>
        </w:rPr>
        <w:t>10.200 ng•uur/ml (75%) en 5.790 ng•uur/ml (46%)</w:t>
      </w:r>
      <w:bookmarkEnd w:id="39"/>
      <w:r w:rsidR="00285B13" w:rsidRPr="00CD4E37">
        <w:rPr>
          <w:szCs w:val="22"/>
          <w:lang w:val="nl-NL"/>
        </w:rPr>
        <w:t>.</w:t>
      </w:r>
    </w:p>
    <w:p w14:paraId="6A8B56C1" w14:textId="77777777" w:rsidR="00285B13" w:rsidRPr="00CD4E37" w:rsidRDefault="00285B13" w:rsidP="00891282">
      <w:pPr>
        <w:tabs>
          <w:tab w:val="clear" w:pos="567"/>
        </w:tabs>
        <w:spacing w:line="240" w:lineRule="auto"/>
        <w:rPr>
          <w:szCs w:val="22"/>
          <w:lang w:val="nl-NL"/>
        </w:rPr>
      </w:pPr>
    </w:p>
    <w:p w14:paraId="7E8C25F7" w14:textId="77777777" w:rsidR="00285B13" w:rsidRPr="00CD4E37" w:rsidRDefault="00285B13" w:rsidP="00891282">
      <w:pPr>
        <w:keepNext/>
        <w:tabs>
          <w:tab w:val="clear" w:pos="567"/>
        </w:tabs>
        <w:spacing w:line="240" w:lineRule="auto"/>
        <w:rPr>
          <w:lang w:val="nl-NL"/>
        </w:rPr>
      </w:pPr>
      <w:r w:rsidRPr="00CD4E37">
        <w:rPr>
          <w:szCs w:val="22"/>
          <w:u w:val="single"/>
          <w:lang w:val="nl-NL"/>
        </w:rPr>
        <w:t>Distributie</w:t>
      </w:r>
    </w:p>
    <w:p w14:paraId="61997E99" w14:textId="77777777" w:rsidR="00285B13" w:rsidRPr="00CD4E37" w:rsidRDefault="00285B13" w:rsidP="00891282">
      <w:pPr>
        <w:keepNext/>
        <w:tabs>
          <w:tab w:val="clear" w:pos="567"/>
        </w:tabs>
        <w:spacing w:line="240" w:lineRule="auto"/>
        <w:rPr>
          <w:szCs w:val="22"/>
          <w:lang w:val="nl-NL"/>
        </w:rPr>
      </w:pPr>
    </w:p>
    <w:p w14:paraId="589A95D0" w14:textId="77777777" w:rsidR="00285B13" w:rsidRPr="00CD4E37" w:rsidRDefault="00285B13" w:rsidP="00891282">
      <w:pPr>
        <w:tabs>
          <w:tab w:val="clear" w:pos="567"/>
        </w:tabs>
        <w:spacing w:line="240" w:lineRule="auto"/>
        <w:rPr>
          <w:szCs w:val="22"/>
          <w:lang w:val="nl-NL"/>
        </w:rPr>
      </w:pPr>
      <w:r w:rsidRPr="00CD4E37">
        <w:rPr>
          <w:szCs w:val="22"/>
          <w:lang w:val="nl-NL"/>
        </w:rPr>
        <w:t>Binding van quizartinib en AC886 aan humane plasma-eiwitten</w:t>
      </w:r>
      <w:r w:rsidRPr="00CD4E37">
        <w:rPr>
          <w:i/>
          <w:iCs/>
          <w:szCs w:val="22"/>
          <w:lang w:val="nl-NL"/>
        </w:rPr>
        <w:t xml:space="preserve"> in vitro</w:t>
      </w:r>
      <w:r w:rsidRPr="00CD4E37">
        <w:rPr>
          <w:szCs w:val="22"/>
          <w:lang w:val="nl-NL"/>
        </w:rPr>
        <w:t xml:space="preserve"> is groter dan of gelijk aan 99%.</w:t>
      </w:r>
    </w:p>
    <w:p w14:paraId="3D722B6C" w14:textId="77777777" w:rsidR="00285B13" w:rsidRPr="00CD4E37" w:rsidRDefault="00285B13" w:rsidP="00891282">
      <w:pPr>
        <w:tabs>
          <w:tab w:val="clear" w:pos="567"/>
        </w:tabs>
        <w:spacing w:line="240" w:lineRule="auto"/>
        <w:rPr>
          <w:szCs w:val="22"/>
          <w:lang w:val="nl-NL"/>
        </w:rPr>
      </w:pPr>
    </w:p>
    <w:p w14:paraId="5FF8A66C" w14:textId="77777777" w:rsidR="00285B13" w:rsidRPr="00CD4E37" w:rsidRDefault="00285B13" w:rsidP="00891282">
      <w:pPr>
        <w:tabs>
          <w:tab w:val="clear" w:pos="567"/>
        </w:tabs>
        <w:spacing w:line="240" w:lineRule="auto"/>
        <w:rPr>
          <w:lang w:val="nl-NL"/>
        </w:rPr>
      </w:pPr>
      <w:r w:rsidRPr="00CD4E37">
        <w:rPr>
          <w:szCs w:val="22"/>
          <w:lang w:val="nl-NL"/>
        </w:rPr>
        <w:t xml:space="preserve">De bloed/plasmaratio van quizartinib en AC886 zijn concentratieafhankelijk, wat wijst op verzadiging van de distributie naar erytrocyten. Bij klinisch relevante plasmaconcentraties is de bloed/plasmaratio ongeveer 1,3 voor quizartinib en ongeveer 2,8 voor AC886. </w:t>
      </w:r>
      <w:r w:rsidRPr="00CD4E37">
        <w:rPr>
          <w:lang w:val="nl-NL"/>
        </w:rPr>
        <w:t>De bloed/plasmaratio van AC886 is tevens afhankelijk van de hematocriet, waarbij de trend is dat deze toeneemt bij een hogere hematocrietwaarde.</w:t>
      </w:r>
    </w:p>
    <w:p w14:paraId="6115756B" w14:textId="77777777" w:rsidR="00285B13" w:rsidRPr="00CD4E37" w:rsidRDefault="00285B13" w:rsidP="00891282">
      <w:pPr>
        <w:tabs>
          <w:tab w:val="clear" w:pos="567"/>
        </w:tabs>
        <w:spacing w:line="240" w:lineRule="auto"/>
        <w:rPr>
          <w:szCs w:val="22"/>
          <w:lang w:val="nl-NL"/>
        </w:rPr>
      </w:pPr>
    </w:p>
    <w:p w14:paraId="0F467133" w14:textId="14E70F01" w:rsidR="00285B13" w:rsidRPr="00CD4E37" w:rsidRDefault="00285B13" w:rsidP="00891282">
      <w:pPr>
        <w:tabs>
          <w:tab w:val="clear" w:pos="567"/>
        </w:tabs>
        <w:spacing w:line="240" w:lineRule="auto"/>
        <w:rPr>
          <w:szCs w:val="22"/>
          <w:lang w:val="nl-NL"/>
        </w:rPr>
      </w:pPr>
      <w:r w:rsidRPr="00CD4E37">
        <w:rPr>
          <w:lang w:val="nl-NL"/>
        </w:rPr>
        <w:t>Het geometrisch gemiddelde (%CV) van het distributievolume van quizartinib bij gezonde proefpersonen werd geschat op 275</w:t>
      </w:r>
      <w:r w:rsidRPr="00CD4E37">
        <w:rPr>
          <w:szCs w:val="22"/>
          <w:lang w:val="nl-NL"/>
        </w:rPr>
        <w:t> </w:t>
      </w:r>
      <w:r w:rsidRPr="00CD4E37">
        <w:rPr>
          <w:lang w:val="nl-NL"/>
        </w:rPr>
        <w:t>l (17%).</w:t>
      </w:r>
    </w:p>
    <w:p w14:paraId="1C717783" w14:textId="77777777" w:rsidR="00285B13" w:rsidRPr="00CD4E37" w:rsidRDefault="00285B13" w:rsidP="00891282">
      <w:pPr>
        <w:tabs>
          <w:tab w:val="clear" w:pos="567"/>
        </w:tabs>
        <w:spacing w:line="240" w:lineRule="auto"/>
        <w:rPr>
          <w:szCs w:val="22"/>
          <w:lang w:val="nl-NL"/>
        </w:rPr>
      </w:pPr>
    </w:p>
    <w:p w14:paraId="4802A917" w14:textId="77777777" w:rsidR="00285B13" w:rsidRPr="00CD4E37" w:rsidRDefault="00285B13" w:rsidP="00891282">
      <w:pPr>
        <w:keepNext/>
        <w:tabs>
          <w:tab w:val="clear" w:pos="567"/>
        </w:tabs>
        <w:spacing w:line="240" w:lineRule="auto"/>
        <w:rPr>
          <w:szCs w:val="22"/>
          <w:u w:val="single"/>
          <w:lang w:val="nl-NL"/>
        </w:rPr>
      </w:pPr>
      <w:bookmarkStart w:id="40" w:name="_Hlk128561536"/>
      <w:r w:rsidRPr="00CD4E37">
        <w:rPr>
          <w:szCs w:val="22"/>
          <w:u w:val="single"/>
          <w:lang w:val="nl-NL"/>
        </w:rPr>
        <w:lastRenderedPageBreak/>
        <w:t>Biotransformatie</w:t>
      </w:r>
    </w:p>
    <w:bookmarkEnd w:id="40"/>
    <w:p w14:paraId="291DC2A8" w14:textId="77777777" w:rsidR="00285B13" w:rsidRPr="00CD4E37" w:rsidRDefault="00285B13" w:rsidP="00891282">
      <w:pPr>
        <w:keepNext/>
        <w:tabs>
          <w:tab w:val="clear" w:pos="567"/>
        </w:tabs>
        <w:spacing w:line="240" w:lineRule="auto"/>
        <w:rPr>
          <w:szCs w:val="22"/>
          <w:lang w:val="nl-NL"/>
        </w:rPr>
      </w:pPr>
    </w:p>
    <w:p w14:paraId="75C15EB3" w14:textId="6BF34DF5" w:rsidR="00285B13" w:rsidRPr="00CD4E37" w:rsidRDefault="00285B13" w:rsidP="00891282">
      <w:pPr>
        <w:tabs>
          <w:tab w:val="clear" w:pos="567"/>
        </w:tabs>
        <w:spacing w:line="240" w:lineRule="auto"/>
        <w:rPr>
          <w:lang w:val="nl-NL"/>
        </w:rPr>
      </w:pPr>
      <w:r w:rsidRPr="00CD4E37">
        <w:rPr>
          <w:lang w:val="nl-NL"/>
        </w:rPr>
        <w:t xml:space="preserve">Quizartinib wordt </w:t>
      </w:r>
      <w:r w:rsidRPr="00CD4E37">
        <w:rPr>
          <w:i/>
          <w:iCs/>
          <w:lang w:val="nl-NL"/>
        </w:rPr>
        <w:t>in vitro</w:t>
      </w:r>
      <w:r w:rsidRPr="00CD4E37">
        <w:rPr>
          <w:lang w:val="nl-NL"/>
        </w:rPr>
        <w:t xml:space="preserve"> voornamelijk gemetaboliseerd door </w:t>
      </w:r>
      <w:r w:rsidR="000B2C14" w:rsidRPr="00CD4E37">
        <w:rPr>
          <w:lang w:val="nl-NL"/>
        </w:rPr>
        <w:t>CYP3A4 en CYP3A5</w:t>
      </w:r>
      <w:r w:rsidRPr="00CD4E37">
        <w:rPr>
          <w:lang w:val="nl-NL"/>
        </w:rPr>
        <w:t xml:space="preserve"> via oxidatieve routes die de actieve metaboliet AC886 opleveren, die vervolgens verder wordt gemetaboliseerd door </w:t>
      </w:r>
      <w:r w:rsidR="000B2C14" w:rsidRPr="00CD4E37">
        <w:rPr>
          <w:lang w:val="nl-NL"/>
        </w:rPr>
        <w:t>CYP3A4 en CYP3A5</w:t>
      </w:r>
      <w:r w:rsidRPr="00CD4E37">
        <w:rPr>
          <w:lang w:val="nl-NL"/>
        </w:rPr>
        <w:t>. De verhouding van de AUC</w:t>
      </w:r>
      <w:r w:rsidRPr="00CD4E37">
        <w:rPr>
          <w:vertAlign w:val="subscript"/>
          <w:lang w:val="nl-NL"/>
        </w:rPr>
        <w:t>0-24u</w:t>
      </w:r>
      <w:r w:rsidRPr="00CD4E37">
        <w:rPr>
          <w:lang w:val="nl-NL"/>
        </w:rPr>
        <w:t xml:space="preserve"> van AC886 ten opzichte van quizartinib bij </w:t>
      </w:r>
      <w:r w:rsidRPr="00CD4E37">
        <w:rPr>
          <w:i/>
          <w:iCs/>
          <w:lang w:val="nl-NL"/>
        </w:rPr>
        <w:t>steady</w:t>
      </w:r>
      <w:r w:rsidRPr="00CD4E37">
        <w:rPr>
          <w:lang w:val="nl-NL"/>
        </w:rPr>
        <w:t> </w:t>
      </w:r>
      <w:r w:rsidRPr="00CD4E37">
        <w:rPr>
          <w:i/>
          <w:iCs/>
          <w:lang w:val="nl-NL"/>
        </w:rPr>
        <w:t>state</w:t>
      </w:r>
      <w:r w:rsidRPr="00CD4E37">
        <w:rPr>
          <w:lang w:val="nl-NL"/>
        </w:rPr>
        <w:t xml:space="preserve"> tijdens onderhoudstherapie was 0,57.</w:t>
      </w:r>
    </w:p>
    <w:p w14:paraId="165AF7A9" w14:textId="77777777" w:rsidR="00285B13" w:rsidRPr="00CD4E37" w:rsidRDefault="00285B13" w:rsidP="00891282">
      <w:pPr>
        <w:tabs>
          <w:tab w:val="clear" w:pos="567"/>
        </w:tabs>
        <w:spacing w:line="240" w:lineRule="auto"/>
        <w:rPr>
          <w:szCs w:val="22"/>
          <w:lang w:val="nl-NL"/>
        </w:rPr>
      </w:pPr>
    </w:p>
    <w:p w14:paraId="3ADBC0F9"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Eliminatie</w:t>
      </w:r>
    </w:p>
    <w:p w14:paraId="1B86DB3D" w14:textId="77777777" w:rsidR="00285B13" w:rsidRPr="00CD4E37" w:rsidRDefault="00285B13" w:rsidP="00891282">
      <w:pPr>
        <w:keepNext/>
        <w:tabs>
          <w:tab w:val="clear" w:pos="567"/>
        </w:tabs>
        <w:spacing w:line="240" w:lineRule="auto"/>
        <w:rPr>
          <w:szCs w:val="22"/>
          <w:lang w:val="nl-NL"/>
        </w:rPr>
      </w:pPr>
    </w:p>
    <w:p w14:paraId="1F957147" w14:textId="77777777" w:rsidR="00285B13" w:rsidRPr="00CD4E37" w:rsidRDefault="00285B13" w:rsidP="00891282">
      <w:pPr>
        <w:tabs>
          <w:tab w:val="clear" w:pos="567"/>
        </w:tabs>
        <w:spacing w:line="240" w:lineRule="auto"/>
        <w:rPr>
          <w:lang w:val="nl-NL"/>
        </w:rPr>
      </w:pPr>
      <w:r w:rsidRPr="00CD4E37">
        <w:rPr>
          <w:lang w:val="nl-NL"/>
        </w:rPr>
        <w:t>De gemiddelde (SD) effectieve halfwaardetijde (t</w:t>
      </w:r>
      <w:r w:rsidRPr="00CD4E37">
        <w:rPr>
          <w:vertAlign w:val="subscript"/>
          <w:lang w:val="nl-NL"/>
        </w:rPr>
        <w:t>1/2</w:t>
      </w:r>
      <w:r w:rsidRPr="00CD4E37">
        <w:rPr>
          <w:lang w:val="nl-NL"/>
        </w:rPr>
        <w:t>) voor quizartinib en AC886 is respectievelijk 81 uur (73) en 136 uur (113) bij patiënten met nieuw gediagnosticeerde AML. De gemiddelde (SD) accumulatieverhouding (AUC</w:t>
      </w:r>
      <w:r w:rsidRPr="00CD4E37">
        <w:rPr>
          <w:vertAlign w:val="subscript"/>
          <w:lang w:val="nl-NL"/>
        </w:rPr>
        <w:t>0-24u</w:t>
      </w:r>
      <w:r w:rsidRPr="00CD4E37">
        <w:rPr>
          <w:lang w:val="nl-NL"/>
        </w:rPr>
        <w:t xml:space="preserve">) voor quizartinib en AC886 was respectievelijk 5,4 (4,4) en 8,7 (6,8). </w:t>
      </w:r>
    </w:p>
    <w:p w14:paraId="43277A86" w14:textId="77777777" w:rsidR="00285B13" w:rsidRPr="00CD4E37" w:rsidRDefault="00285B13" w:rsidP="00891282">
      <w:pPr>
        <w:tabs>
          <w:tab w:val="clear" w:pos="567"/>
        </w:tabs>
        <w:spacing w:line="240" w:lineRule="auto"/>
        <w:rPr>
          <w:lang w:val="nl-NL"/>
        </w:rPr>
      </w:pPr>
    </w:p>
    <w:p w14:paraId="5C943654" w14:textId="77777777" w:rsidR="00285B13" w:rsidRPr="00CD4E37" w:rsidRDefault="00285B13" w:rsidP="00891282">
      <w:pPr>
        <w:tabs>
          <w:tab w:val="clear" w:pos="567"/>
        </w:tabs>
        <w:spacing w:line="240" w:lineRule="auto"/>
        <w:rPr>
          <w:lang w:val="nl-NL"/>
        </w:rPr>
      </w:pPr>
      <w:r w:rsidRPr="00CD4E37">
        <w:rPr>
          <w:lang w:val="nl-NL"/>
        </w:rPr>
        <w:t>Quizartinib en zijn metabolieten worden voornamelijk geëlimineerd via de hepatobiliaire route, waarbij excretie voornamelijk via feces gebeurt (76,3% van de oraal toegediende radioactieve dosis). Ongemodificeerd quizartinib vertegenwoordigde ongeveer 4% van de oraal toegediende radioactieve dosis in feces. Renale excretie is een minder belangrijke eliminatieroute van de toegediende radioactieve dosis (&lt; 2%).</w:t>
      </w:r>
    </w:p>
    <w:p w14:paraId="3CF51194" w14:textId="77777777" w:rsidR="00285B13" w:rsidRPr="00CD4E37" w:rsidRDefault="00285B13" w:rsidP="00891282">
      <w:pPr>
        <w:tabs>
          <w:tab w:val="clear" w:pos="567"/>
        </w:tabs>
        <w:spacing w:line="240" w:lineRule="auto"/>
        <w:rPr>
          <w:szCs w:val="22"/>
          <w:lang w:val="nl-NL"/>
        </w:rPr>
      </w:pPr>
    </w:p>
    <w:p w14:paraId="20B0252C" w14:textId="77777777" w:rsidR="00285B13" w:rsidRPr="00CD4E37" w:rsidRDefault="00285B13" w:rsidP="00891282">
      <w:pPr>
        <w:tabs>
          <w:tab w:val="clear" w:pos="567"/>
        </w:tabs>
        <w:spacing w:line="240" w:lineRule="auto"/>
        <w:rPr>
          <w:szCs w:val="22"/>
          <w:lang w:val="nl-NL"/>
        </w:rPr>
      </w:pPr>
      <w:r w:rsidRPr="00CD4E37">
        <w:rPr>
          <w:szCs w:val="22"/>
          <w:lang w:val="nl-NL"/>
        </w:rPr>
        <w:t>Het geometrish gemiddelde (%CV) van de volledige klaring uit het lichaam (CL) van quizartinib bij gezonde proefpersonen werd geschat op 2,23</w:t>
      </w:r>
      <w:r w:rsidRPr="00CD4E37">
        <w:rPr>
          <w:lang w:val="nl-NL"/>
        </w:rPr>
        <w:t> </w:t>
      </w:r>
      <w:r w:rsidRPr="00CD4E37">
        <w:rPr>
          <w:szCs w:val="22"/>
          <w:lang w:val="nl-NL"/>
        </w:rPr>
        <w:t>l/uur (29%).</w:t>
      </w:r>
    </w:p>
    <w:p w14:paraId="208ECAA0" w14:textId="77777777" w:rsidR="00285B13" w:rsidRPr="00CD4E37" w:rsidRDefault="00285B13" w:rsidP="00891282">
      <w:pPr>
        <w:tabs>
          <w:tab w:val="clear" w:pos="567"/>
        </w:tabs>
        <w:spacing w:line="240" w:lineRule="auto"/>
        <w:rPr>
          <w:szCs w:val="22"/>
          <w:lang w:val="nl-NL"/>
        </w:rPr>
      </w:pPr>
    </w:p>
    <w:p w14:paraId="21001419"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Lineariteit/non-lineariteit</w:t>
      </w:r>
    </w:p>
    <w:p w14:paraId="1B0FD0DC" w14:textId="77777777" w:rsidR="00285B13" w:rsidRPr="00CD4E37" w:rsidRDefault="00285B13" w:rsidP="00891282">
      <w:pPr>
        <w:keepNext/>
        <w:tabs>
          <w:tab w:val="clear" w:pos="567"/>
        </w:tabs>
        <w:spacing w:line="240" w:lineRule="auto"/>
        <w:rPr>
          <w:szCs w:val="22"/>
          <w:lang w:val="nl-NL"/>
        </w:rPr>
      </w:pPr>
    </w:p>
    <w:p w14:paraId="48CC503A" w14:textId="28BC4385" w:rsidR="00285B13" w:rsidRPr="00CD4E37" w:rsidRDefault="00285B13" w:rsidP="00891282">
      <w:pPr>
        <w:tabs>
          <w:tab w:val="clear" w:pos="567"/>
        </w:tabs>
        <w:spacing w:line="240" w:lineRule="auto"/>
        <w:rPr>
          <w:szCs w:val="22"/>
          <w:lang w:val="nl-NL"/>
        </w:rPr>
      </w:pPr>
      <w:r w:rsidRPr="00CD4E37">
        <w:rPr>
          <w:szCs w:val="22"/>
          <w:lang w:val="nl-NL"/>
        </w:rPr>
        <w:t xml:space="preserve">Quizartinib </w:t>
      </w:r>
      <w:r w:rsidR="00317F2E" w:rsidRPr="00CD4E37">
        <w:rPr>
          <w:szCs w:val="22"/>
          <w:lang w:val="nl-NL"/>
        </w:rPr>
        <w:t xml:space="preserve">en AC886 </w:t>
      </w:r>
      <w:r w:rsidRPr="00CD4E37">
        <w:rPr>
          <w:szCs w:val="22"/>
          <w:lang w:val="nl-NL"/>
        </w:rPr>
        <w:t>vertoonde</w:t>
      </w:r>
      <w:r w:rsidR="00317F2E" w:rsidRPr="00CD4E37">
        <w:rPr>
          <w:szCs w:val="22"/>
          <w:lang w:val="nl-NL"/>
        </w:rPr>
        <w:t>n</w:t>
      </w:r>
      <w:r w:rsidRPr="00CD4E37">
        <w:rPr>
          <w:szCs w:val="22"/>
          <w:lang w:val="nl-NL"/>
        </w:rPr>
        <w:t xml:space="preserve"> een lineaire kinetiek in het dosisbereik van 26,5 mg tot 79,5 mg bij gezonde proefpersonen en 17,</w:t>
      </w:r>
      <w:r w:rsidR="000B2C14" w:rsidRPr="00CD4E37">
        <w:rPr>
          <w:szCs w:val="22"/>
          <w:lang w:val="nl-NL"/>
        </w:rPr>
        <w:t>7</w:t>
      </w:r>
      <w:r w:rsidRPr="00CD4E37">
        <w:rPr>
          <w:szCs w:val="22"/>
          <w:lang w:val="nl-NL"/>
        </w:rPr>
        <w:t> mg tot 53 mg bij AML-patiënten.</w:t>
      </w:r>
    </w:p>
    <w:p w14:paraId="612EA5C6" w14:textId="77777777" w:rsidR="00285B13" w:rsidRPr="00CD4E37" w:rsidRDefault="00285B13" w:rsidP="00891282">
      <w:pPr>
        <w:tabs>
          <w:tab w:val="clear" w:pos="567"/>
        </w:tabs>
        <w:spacing w:line="240" w:lineRule="auto"/>
        <w:rPr>
          <w:szCs w:val="22"/>
          <w:lang w:val="nl-NL"/>
        </w:rPr>
      </w:pPr>
    </w:p>
    <w:p w14:paraId="559A7B90" w14:textId="77777777" w:rsidR="00285B13" w:rsidRPr="00CD4E37" w:rsidRDefault="00285B13" w:rsidP="00891282">
      <w:pPr>
        <w:keepNext/>
        <w:tabs>
          <w:tab w:val="clear" w:pos="567"/>
        </w:tabs>
        <w:spacing w:line="240" w:lineRule="auto"/>
        <w:rPr>
          <w:szCs w:val="22"/>
          <w:u w:val="single"/>
          <w:lang w:val="nl-NL"/>
        </w:rPr>
      </w:pPr>
      <w:bookmarkStart w:id="41" w:name="_Hlk126938409"/>
      <w:r w:rsidRPr="00CD4E37">
        <w:rPr>
          <w:szCs w:val="22"/>
          <w:u w:val="single"/>
          <w:lang w:val="nl-NL"/>
        </w:rPr>
        <w:t>Farmacokinetische/farmacodynamische relatie(s)</w:t>
      </w:r>
    </w:p>
    <w:p w14:paraId="22832CF7" w14:textId="77777777" w:rsidR="00285B13" w:rsidRPr="00CD4E37" w:rsidRDefault="00285B13" w:rsidP="00891282">
      <w:pPr>
        <w:keepNext/>
        <w:tabs>
          <w:tab w:val="clear" w:pos="567"/>
        </w:tabs>
        <w:spacing w:line="240" w:lineRule="auto"/>
        <w:rPr>
          <w:szCs w:val="22"/>
          <w:lang w:val="nl-NL"/>
        </w:rPr>
      </w:pPr>
    </w:p>
    <w:p w14:paraId="1D60B78E" w14:textId="079CB8E9" w:rsidR="00285B13" w:rsidRPr="00CD4E37" w:rsidRDefault="00285B13" w:rsidP="00891282">
      <w:pPr>
        <w:tabs>
          <w:tab w:val="clear" w:pos="567"/>
        </w:tabs>
        <w:spacing w:line="240" w:lineRule="auto"/>
        <w:rPr>
          <w:szCs w:val="22"/>
          <w:lang w:val="nl-NL"/>
        </w:rPr>
      </w:pPr>
      <w:r w:rsidRPr="00CD4E37">
        <w:rPr>
          <w:szCs w:val="24"/>
          <w:lang w:val="nl-NL"/>
        </w:rPr>
        <w:t>Op basis van een farmacokinetische populatieanalyse hadden leeftijd (18 tot 91</w:t>
      </w:r>
      <w:r w:rsidRPr="00CD4E37">
        <w:rPr>
          <w:sz w:val="16"/>
          <w:szCs w:val="16"/>
          <w:lang w:val="nl-NL"/>
        </w:rPr>
        <w:t> </w:t>
      </w:r>
      <w:r w:rsidRPr="00CD4E37">
        <w:rPr>
          <w:szCs w:val="24"/>
          <w:lang w:val="nl-NL"/>
        </w:rPr>
        <w:t>jaar), ras, geslacht, lichaamsgewicht en nierfunctiestoornis (CLcr</w:t>
      </w:r>
      <w:r w:rsidR="003A08A9">
        <w:rPr>
          <w:szCs w:val="24"/>
          <w:lang w:val="nl-NL"/>
        </w:rPr>
        <w:t>:</w:t>
      </w:r>
      <w:r w:rsidRPr="00CD4E37">
        <w:rPr>
          <w:szCs w:val="24"/>
          <w:lang w:val="nl-NL"/>
        </w:rPr>
        <w:t> 30 tot 89 ml/min, geschat aan de hand van de formule van Cockcroft-Gault) geen klinisch relevant effect op blootstelling aan quizartinib en AC886.</w:t>
      </w:r>
    </w:p>
    <w:p w14:paraId="226E826D" w14:textId="77777777" w:rsidR="00285B13" w:rsidRPr="00CD4E37" w:rsidRDefault="00285B13" w:rsidP="00891282">
      <w:pPr>
        <w:tabs>
          <w:tab w:val="clear" w:pos="567"/>
        </w:tabs>
        <w:spacing w:line="240" w:lineRule="auto"/>
        <w:rPr>
          <w:szCs w:val="22"/>
          <w:lang w:val="nl-NL"/>
        </w:rPr>
      </w:pPr>
    </w:p>
    <w:bookmarkEnd w:id="41"/>
    <w:p w14:paraId="048E6026"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Onderzoeken naar interactie met andere geneesmiddelen</w:t>
      </w:r>
    </w:p>
    <w:p w14:paraId="650B4F65" w14:textId="77777777" w:rsidR="00285B13" w:rsidRPr="00CD4E37" w:rsidRDefault="00285B13" w:rsidP="00891282">
      <w:pPr>
        <w:keepNext/>
        <w:tabs>
          <w:tab w:val="clear" w:pos="567"/>
        </w:tabs>
        <w:spacing w:line="240" w:lineRule="auto"/>
        <w:rPr>
          <w:szCs w:val="22"/>
          <w:lang w:val="nl-NL"/>
        </w:rPr>
      </w:pPr>
    </w:p>
    <w:p w14:paraId="690B9FD2" w14:textId="77777777" w:rsidR="00285B13" w:rsidRPr="00CD4E37" w:rsidRDefault="00285B13" w:rsidP="00891282">
      <w:pPr>
        <w:keepNext/>
        <w:tabs>
          <w:tab w:val="clear" w:pos="567"/>
        </w:tabs>
        <w:spacing w:line="240" w:lineRule="auto"/>
        <w:rPr>
          <w:i/>
          <w:iCs/>
          <w:szCs w:val="22"/>
          <w:lang w:val="nl-NL"/>
        </w:rPr>
      </w:pPr>
      <w:r w:rsidRPr="00CD4E37">
        <w:rPr>
          <w:i/>
          <w:iCs/>
          <w:szCs w:val="22"/>
          <w:lang w:val="nl-NL"/>
        </w:rPr>
        <w:t>Transporteiwitten</w:t>
      </w:r>
    </w:p>
    <w:p w14:paraId="7DFF32F2" w14:textId="33A59EF3" w:rsidR="00285B13" w:rsidRPr="00CD4E37" w:rsidRDefault="00285B13" w:rsidP="00891282">
      <w:pPr>
        <w:tabs>
          <w:tab w:val="clear" w:pos="567"/>
        </w:tabs>
        <w:spacing w:line="240" w:lineRule="auto"/>
        <w:rPr>
          <w:szCs w:val="22"/>
          <w:lang w:val="nl-NL"/>
        </w:rPr>
      </w:pPr>
      <w:r w:rsidRPr="00CD4E37">
        <w:rPr>
          <w:szCs w:val="22"/>
          <w:lang w:val="nl-NL"/>
        </w:rPr>
        <w:t>Uit in</w:t>
      </w:r>
      <w:r w:rsidRPr="00CD4E37">
        <w:rPr>
          <w:i/>
          <w:iCs/>
          <w:szCs w:val="22"/>
          <w:lang w:val="nl-NL"/>
        </w:rPr>
        <w:t>-</w:t>
      </w:r>
      <w:r w:rsidRPr="00CD4E37">
        <w:rPr>
          <w:szCs w:val="22"/>
          <w:lang w:val="nl-NL"/>
        </w:rPr>
        <w:t>vitro-onderzoeken is gebleken dat quizartinib een substraat is voor P-gp maar niet voor BCRP, OATP1B1, OATP1B3, OCT1, OAT2, MATE1 of MRP2. AC886 is een substraat voor BCRP maar niet voor OATP1B1, OATP1B3, MATE1 of MRP2. De toediening van een enkele dosis quizartinib met ketoconazol, een sterke remmer van zowel CYP3A als P-gp, leidde echter tot een toename van de C</w:t>
      </w:r>
      <w:r w:rsidRPr="00CD4E37">
        <w:rPr>
          <w:szCs w:val="22"/>
          <w:vertAlign w:val="subscript"/>
          <w:lang w:val="nl-NL"/>
        </w:rPr>
        <w:t>max</w:t>
      </w:r>
      <w:r w:rsidRPr="00CD4E37">
        <w:rPr>
          <w:szCs w:val="22"/>
          <w:lang w:val="nl-NL"/>
        </w:rPr>
        <w:t xml:space="preserve"> van quizartinib met ongeveer </w:t>
      </w:r>
      <w:r w:rsidR="00317F2E" w:rsidRPr="00CD4E37">
        <w:rPr>
          <w:szCs w:val="22"/>
          <w:lang w:val="nl-NL"/>
        </w:rPr>
        <w:t>een factor 1,</w:t>
      </w:r>
      <w:r w:rsidRPr="00CD4E37">
        <w:rPr>
          <w:szCs w:val="22"/>
          <w:lang w:val="nl-NL"/>
        </w:rPr>
        <w:t>17; dit suggereert dat het effect van P-gp minimaal is. Aangezien een dosisaanpassing vereist is bij gelijktijdig gebruik met sterke CYP3A-remmers, waarvan vele ook P-gp remmen, is er geen specifieke dosisaanpassing vereist voor P-gp-remmers.</w:t>
      </w:r>
    </w:p>
    <w:p w14:paraId="42527130" w14:textId="77777777" w:rsidR="00285B13" w:rsidRPr="00CD4E37" w:rsidRDefault="00285B13" w:rsidP="00891282">
      <w:pPr>
        <w:tabs>
          <w:tab w:val="clear" w:pos="567"/>
        </w:tabs>
        <w:spacing w:line="240" w:lineRule="auto"/>
        <w:rPr>
          <w:szCs w:val="22"/>
          <w:lang w:val="nl-NL"/>
        </w:rPr>
      </w:pPr>
    </w:p>
    <w:p w14:paraId="6FCD2144" w14:textId="5B630C1F" w:rsidR="00285B13" w:rsidRPr="00CD4E37" w:rsidRDefault="00285B13" w:rsidP="00891282">
      <w:pPr>
        <w:keepNext/>
        <w:tabs>
          <w:tab w:val="clear" w:pos="567"/>
        </w:tabs>
        <w:spacing w:line="240" w:lineRule="auto"/>
        <w:rPr>
          <w:i/>
          <w:szCs w:val="22"/>
          <w:lang w:val="nl-NL"/>
        </w:rPr>
      </w:pPr>
      <w:bookmarkStart w:id="42" w:name="_Hlk86189879"/>
      <w:r w:rsidRPr="00CD4E37">
        <w:rPr>
          <w:i/>
          <w:iCs/>
          <w:szCs w:val="22"/>
          <w:lang w:val="nl-NL"/>
        </w:rPr>
        <w:t xml:space="preserve">Substraten van </w:t>
      </w:r>
      <w:r w:rsidR="000B2C14" w:rsidRPr="00CD4E37">
        <w:rPr>
          <w:i/>
          <w:iCs/>
          <w:szCs w:val="22"/>
          <w:lang w:val="nl-NL"/>
        </w:rPr>
        <w:t>uridinedifosfaat-glucuronosyltransferasen (UGT)1A1</w:t>
      </w:r>
    </w:p>
    <w:p w14:paraId="37DB79B9" w14:textId="6C29337A" w:rsidR="00285B13" w:rsidRPr="00CD4E37" w:rsidRDefault="00285B13" w:rsidP="00BE5247">
      <w:pPr>
        <w:tabs>
          <w:tab w:val="clear" w:pos="567"/>
        </w:tabs>
        <w:spacing w:line="240" w:lineRule="auto"/>
        <w:rPr>
          <w:szCs w:val="22"/>
          <w:lang w:val="nl-NL"/>
        </w:rPr>
      </w:pPr>
      <w:r w:rsidRPr="00CD4E37">
        <w:rPr>
          <w:szCs w:val="22"/>
          <w:lang w:val="nl-NL"/>
        </w:rPr>
        <w:t xml:space="preserve">Quizartinib remt UGT1A1 met een geschatte Ki </w:t>
      </w:r>
      <w:r w:rsidRPr="00CD4E37">
        <w:rPr>
          <w:i/>
          <w:iCs/>
          <w:lang w:val="nl-NL"/>
        </w:rPr>
        <w:t>in</w:t>
      </w:r>
      <w:r w:rsidRPr="00CD4E37">
        <w:rPr>
          <w:lang w:val="nl-NL"/>
        </w:rPr>
        <w:t> </w:t>
      </w:r>
      <w:r w:rsidRPr="00CD4E37">
        <w:rPr>
          <w:i/>
          <w:iCs/>
          <w:lang w:val="nl-NL"/>
        </w:rPr>
        <w:t>vitro</w:t>
      </w:r>
      <w:r w:rsidRPr="00CD4E37">
        <w:rPr>
          <w:szCs w:val="22"/>
          <w:lang w:val="nl-NL"/>
        </w:rPr>
        <w:t xml:space="preserve"> van 0,78 μM. Op basis van een </w:t>
      </w:r>
      <w:r w:rsidR="000B2C14" w:rsidRPr="00CD4E37">
        <w:rPr>
          <w:szCs w:val="22"/>
          <w:lang w:val="nl-NL"/>
        </w:rPr>
        <w:t>op fysiologie gebaseerde farmacokinetische (</w:t>
      </w:r>
      <w:r w:rsidRPr="00CD4E37">
        <w:rPr>
          <w:szCs w:val="22"/>
          <w:lang w:val="nl-NL"/>
        </w:rPr>
        <w:t>PBPK</w:t>
      </w:r>
      <w:r w:rsidR="004A2A52">
        <w:rPr>
          <w:szCs w:val="22"/>
          <w:lang w:val="nl-NL"/>
        </w:rPr>
        <w:t>-</w:t>
      </w:r>
      <w:r w:rsidR="000B2C14" w:rsidRPr="00CD4E37">
        <w:rPr>
          <w:szCs w:val="22"/>
          <w:lang w:val="nl-NL"/>
        </w:rPr>
        <w:t>)</w:t>
      </w:r>
      <w:r w:rsidR="004A2A52">
        <w:rPr>
          <w:szCs w:val="22"/>
          <w:lang w:val="nl-NL"/>
        </w:rPr>
        <w:t xml:space="preserve"> </w:t>
      </w:r>
      <w:r w:rsidRPr="00CD4E37">
        <w:rPr>
          <w:szCs w:val="22"/>
          <w:lang w:val="nl-NL"/>
        </w:rPr>
        <w:t>analyse werd voorspeld dat quizartinib zou leiden tot een toename van de C</w:t>
      </w:r>
      <w:r w:rsidRPr="00CD4E37">
        <w:rPr>
          <w:szCs w:val="22"/>
          <w:vertAlign w:val="subscript"/>
          <w:lang w:val="nl-NL"/>
        </w:rPr>
        <w:t>max</w:t>
      </w:r>
      <w:r w:rsidRPr="00CD4E37">
        <w:rPr>
          <w:szCs w:val="22"/>
          <w:lang w:val="nl-NL"/>
        </w:rPr>
        <w:t xml:space="preserve"> en AUC</w:t>
      </w:r>
      <w:r w:rsidRPr="00CD4E37">
        <w:rPr>
          <w:szCs w:val="22"/>
          <w:vertAlign w:val="subscript"/>
          <w:lang w:val="nl-NL"/>
        </w:rPr>
        <w:t>inf</w:t>
      </w:r>
      <w:r w:rsidRPr="00CD4E37">
        <w:rPr>
          <w:szCs w:val="22"/>
          <w:lang w:val="nl-NL"/>
        </w:rPr>
        <w:t xml:space="preserve"> van raltegravir (een substraat van UGT1A1) met </w:t>
      </w:r>
      <w:r w:rsidR="00317F2E" w:rsidRPr="00CD4E37">
        <w:rPr>
          <w:szCs w:val="22"/>
          <w:lang w:val="nl-NL"/>
        </w:rPr>
        <w:t>een factor 1,03</w:t>
      </w:r>
      <w:r w:rsidR="00261508" w:rsidRPr="00CD4E37">
        <w:rPr>
          <w:szCs w:val="22"/>
          <w:lang w:val="nl-NL"/>
        </w:rPr>
        <w:t>; dit werd niet beschouwd</w:t>
      </w:r>
      <w:r w:rsidR="00B7299F" w:rsidRPr="00CD4E37">
        <w:rPr>
          <w:lang w:val="nl-NL"/>
        </w:rPr>
        <w:t xml:space="preserve"> als klinisch relevant</w:t>
      </w:r>
      <w:r w:rsidRPr="00CD4E37">
        <w:rPr>
          <w:lang w:val="nl-NL"/>
        </w:rPr>
        <w:t>.</w:t>
      </w:r>
    </w:p>
    <w:p w14:paraId="79D98FE9" w14:textId="77777777" w:rsidR="00285B13" w:rsidRPr="00CD4E37" w:rsidRDefault="00285B13" w:rsidP="00891282">
      <w:pPr>
        <w:tabs>
          <w:tab w:val="clear" w:pos="567"/>
        </w:tabs>
        <w:spacing w:line="240" w:lineRule="auto"/>
        <w:rPr>
          <w:szCs w:val="22"/>
          <w:lang w:val="nl-NL"/>
        </w:rPr>
      </w:pPr>
    </w:p>
    <w:bookmarkEnd w:id="42"/>
    <w:p w14:paraId="2A72D874"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Speciale populaties</w:t>
      </w:r>
    </w:p>
    <w:p w14:paraId="12E6A8E5" w14:textId="77777777" w:rsidR="00285B13" w:rsidRPr="00CD4E37" w:rsidRDefault="00285B13" w:rsidP="00891282">
      <w:pPr>
        <w:keepNext/>
        <w:tabs>
          <w:tab w:val="clear" w:pos="567"/>
        </w:tabs>
        <w:spacing w:line="240" w:lineRule="auto"/>
        <w:rPr>
          <w:szCs w:val="22"/>
          <w:lang w:val="nl-NL"/>
        </w:rPr>
      </w:pPr>
    </w:p>
    <w:p w14:paraId="35EA08FF"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Leverfunctiestoornis</w:t>
      </w:r>
    </w:p>
    <w:p w14:paraId="6E67F421" w14:textId="5BC47DBF" w:rsidR="00285B13" w:rsidRPr="00CD4E37" w:rsidRDefault="00285B13" w:rsidP="00891282">
      <w:pPr>
        <w:tabs>
          <w:tab w:val="clear" w:pos="567"/>
        </w:tabs>
        <w:spacing w:line="240" w:lineRule="auto"/>
        <w:rPr>
          <w:szCs w:val="22"/>
          <w:lang w:val="nl-NL"/>
        </w:rPr>
      </w:pPr>
      <w:r w:rsidRPr="00CD4E37">
        <w:rPr>
          <w:szCs w:val="22"/>
          <w:lang w:val="nl-NL"/>
        </w:rPr>
        <w:t xml:space="preserve">In een fase 1-onderzoek met een enkele dosis (26,5 mg) werd de farmacokinetiek van quizartinib en AC886 beoordeeld bij proefpersonen met een lichte leverfunctiestoornis (Child-Pugh-klasse A) of een matige leverfunctiestoornis (Child-Pugh-klasse B) en vergeleken met proefpersonen met een normale </w:t>
      </w:r>
      <w:r w:rsidRPr="00CD4E37">
        <w:rPr>
          <w:szCs w:val="22"/>
          <w:lang w:val="nl-NL"/>
        </w:rPr>
        <w:lastRenderedPageBreak/>
        <w:t>leverfunctie. De blootstelling (C</w:t>
      </w:r>
      <w:r w:rsidRPr="00CD4E37">
        <w:rPr>
          <w:szCs w:val="22"/>
          <w:vertAlign w:val="subscript"/>
          <w:lang w:val="nl-NL"/>
        </w:rPr>
        <w:t>max</w:t>
      </w:r>
      <w:r w:rsidRPr="00CD4E37">
        <w:rPr>
          <w:szCs w:val="22"/>
          <w:lang w:val="nl-NL"/>
        </w:rPr>
        <w:t xml:space="preserve"> en AUC</w:t>
      </w:r>
      <w:r w:rsidRPr="00CD4E37">
        <w:rPr>
          <w:szCs w:val="22"/>
          <w:vertAlign w:val="subscript"/>
          <w:lang w:val="nl-NL"/>
        </w:rPr>
        <w:t>inf</w:t>
      </w:r>
      <w:r w:rsidRPr="00CD4E37">
        <w:rPr>
          <w:szCs w:val="22"/>
          <w:lang w:val="nl-NL"/>
        </w:rPr>
        <w:t xml:space="preserve">) aan quizartinib </w:t>
      </w:r>
      <w:r w:rsidRPr="00CD4E37">
        <w:rPr>
          <w:szCs w:val="24"/>
          <w:lang w:val="nl-NL"/>
        </w:rPr>
        <w:t xml:space="preserve">en </w:t>
      </w:r>
      <w:r w:rsidRPr="00CD4E37">
        <w:rPr>
          <w:szCs w:val="22"/>
          <w:lang w:val="nl-NL"/>
        </w:rPr>
        <w:t xml:space="preserve">AC886 was voor alle groepen vergelijkbaar (≤ 30% verschil). </w:t>
      </w:r>
      <w:r w:rsidR="00B7299F" w:rsidRPr="00CD4E37">
        <w:rPr>
          <w:szCs w:val="22"/>
          <w:lang w:val="nl-NL"/>
        </w:rPr>
        <w:t xml:space="preserve">De binding van quizartinib en AC886 aan eiwitten wordt niet beïnvloed door een leverfunctiestoornis. </w:t>
      </w:r>
      <w:r w:rsidRPr="00CD4E37">
        <w:rPr>
          <w:szCs w:val="22"/>
          <w:lang w:val="nl-NL"/>
        </w:rPr>
        <w:t>Een leverfunctiestoornis had dus geen klinisch relevant effect op de blootstelling aan quizartinib en AC886.</w:t>
      </w:r>
    </w:p>
    <w:p w14:paraId="250D797F" w14:textId="77777777" w:rsidR="00285B13" w:rsidRPr="00CD4E37" w:rsidRDefault="00285B13" w:rsidP="00891282">
      <w:pPr>
        <w:tabs>
          <w:tab w:val="clear" w:pos="567"/>
        </w:tabs>
        <w:spacing w:line="240" w:lineRule="auto"/>
        <w:rPr>
          <w:szCs w:val="22"/>
          <w:lang w:val="nl-NL"/>
        </w:rPr>
      </w:pPr>
    </w:p>
    <w:p w14:paraId="10FAB902" w14:textId="0D5F749C" w:rsidR="00285B13" w:rsidRPr="00CD4E37" w:rsidRDefault="00B7299F" w:rsidP="00891282">
      <w:pPr>
        <w:tabs>
          <w:tab w:val="clear" w:pos="567"/>
        </w:tabs>
        <w:spacing w:line="240" w:lineRule="auto"/>
        <w:rPr>
          <w:szCs w:val="22"/>
          <w:lang w:val="nl-NL"/>
        </w:rPr>
      </w:pPr>
      <w:r w:rsidRPr="00CD4E37">
        <w:rPr>
          <w:szCs w:val="24"/>
          <w:lang w:val="nl-NL"/>
        </w:rPr>
        <w:t>Er</w:t>
      </w:r>
      <w:r w:rsidR="00285B13" w:rsidRPr="00CD4E37">
        <w:rPr>
          <w:szCs w:val="24"/>
          <w:lang w:val="nl-NL"/>
        </w:rPr>
        <w:t xml:space="preserve"> wordt </w:t>
      </w:r>
      <w:r w:rsidRPr="00CD4E37">
        <w:rPr>
          <w:szCs w:val="24"/>
          <w:lang w:val="nl-NL"/>
        </w:rPr>
        <w:t>geen dosisaanpassing aanbevolen bij patiënten met een lichte of matige</w:t>
      </w:r>
      <w:r w:rsidR="00285B13" w:rsidRPr="00CD4E37">
        <w:rPr>
          <w:szCs w:val="24"/>
          <w:lang w:val="nl-NL"/>
        </w:rPr>
        <w:t xml:space="preserve"> leverfunctiestoornis.</w:t>
      </w:r>
    </w:p>
    <w:p w14:paraId="7D983A38" w14:textId="77777777" w:rsidR="00285B13" w:rsidRPr="00CD4E37" w:rsidRDefault="00285B13" w:rsidP="00891282">
      <w:pPr>
        <w:tabs>
          <w:tab w:val="clear" w:pos="567"/>
        </w:tabs>
        <w:spacing w:line="240" w:lineRule="auto"/>
        <w:rPr>
          <w:szCs w:val="22"/>
          <w:lang w:val="nl-NL"/>
        </w:rPr>
      </w:pPr>
    </w:p>
    <w:p w14:paraId="53FE74E6" w14:textId="77777777" w:rsidR="00285B13" w:rsidRPr="00CD4E37" w:rsidRDefault="00285B13" w:rsidP="00891282">
      <w:pPr>
        <w:tabs>
          <w:tab w:val="clear" w:pos="567"/>
        </w:tabs>
        <w:spacing w:line="240" w:lineRule="auto"/>
        <w:rPr>
          <w:lang w:val="nl-NL"/>
        </w:rPr>
      </w:pPr>
      <w:r w:rsidRPr="00CD4E37">
        <w:rPr>
          <w:lang w:val="nl-NL"/>
        </w:rPr>
        <w:t>Patiënten met een ernstige leverfunctiestoornis (Child-Pugh-klasse C) waren niet opgenomen in de klinische onderzoeken; daarom wordt VANFLYTA niet aanbevolen voor gebruik bij deze patiënten.</w:t>
      </w:r>
    </w:p>
    <w:p w14:paraId="63D76D73" w14:textId="77777777" w:rsidR="00285B13" w:rsidRPr="00CD4E37" w:rsidRDefault="00285B13" w:rsidP="00891282">
      <w:pPr>
        <w:tabs>
          <w:tab w:val="clear" w:pos="567"/>
        </w:tabs>
        <w:spacing w:line="240" w:lineRule="auto"/>
        <w:rPr>
          <w:szCs w:val="22"/>
          <w:lang w:val="nl-NL"/>
        </w:rPr>
      </w:pPr>
    </w:p>
    <w:p w14:paraId="5A8EC312"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Nierfunctiestoornis</w:t>
      </w:r>
    </w:p>
    <w:p w14:paraId="31DE71C4" w14:textId="600B6119" w:rsidR="00285B13" w:rsidRPr="00CD4E37" w:rsidRDefault="00285B13" w:rsidP="00891282">
      <w:pPr>
        <w:tabs>
          <w:tab w:val="clear" w:pos="567"/>
        </w:tabs>
        <w:spacing w:line="240" w:lineRule="auto"/>
        <w:rPr>
          <w:lang w:val="nl-NL"/>
        </w:rPr>
      </w:pPr>
      <w:r w:rsidRPr="00CD4E37">
        <w:rPr>
          <w:lang w:val="nl-NL"/>
        </w:rPr>
        <w:t>Met een farmacokinetische populatieanalyse bij AML-patiënten met een lichte tot matige nierfunctiestoornis (CLcr</w:t>
      </w:r>
      <w:r w:rsidR="003A08A9">
        <w:rPr>
          <w:lang w:val="nl-NL"/>
        </w:rPr>
        <w:t>:</w:t>
      </w:r>
      <w:r w:rsidRPr="00CD4E37">
        <w:rPr>
          <w:lang w:val="nl-NL"/>
        </w:rPr>
        <w:t> 30 tot 89 ml/min) is aangetoond dat de nierfunctie geen invloed had op de klaring van quizartinib en AC886. Een lichte of matige nierfunctiestoornis had dus geen klinisch relevant effect op de blootstelling aan quizartinib en AC886. Er wordt geen dosisaanpassing aanbevolen bij patiënten met een lichte of matige nierfunctiestoornis.</w:t>
      </w:r>
    </w:p>
    <w:p w14:paraId="3DBF3914" w14:textId="77777777" w:rsidR="00285B13" w:rsidRPr="00CD4E37" w:rsidRDefault="00285B13" w:rsidP="00891282">
      <w:pPr>
        <w:tabs>
          <w:tab w:val="clear" w:pos="567"/>
        </w:tabs>
        <w:spacing w:line="240" w:lineRule="auto"/>
        <w:rPr>
          <w:lang w:val="nl-NL"/>
        </w:rPr>
      </w:pPr>
    </w:p>
    <w:p w14:paraId="6BFD9C0A" w14:textId="77777777" w:rsidR="00285B13" w:rsidRPr="00CD4E37" w:rsidRDefault="00285B13" w:rsidP="00891282">
      <w:pPr>
        <w:tabs>
          <w:tab w:val="clear" w:pos="567"/>
        </w:tabs>
        <w:spacing w:line="240" w:lineRule="auto"/>
        <w:rPr>
          <w:lang w:val="nl-NL"/>
        </w:rPr>
      </w:pPr>
      <w:r w:rsidRPr="00CD4E37">
        <w:rPr>
          <w:lang w:val="nl-NL"/>
        </w:rPr>
        <w:t>Patiënten met een ernstige nierfunctiestoornis (CLcr &lt; 30 ml/min) waren niet opgenomen in de klinische onderzoeken; daarom wordt VANFLYTA niet aanbevolen voor gebruik bij deze patiënten.</w:t>
      </w:r>
    </w:p>
    <w:p w14:paraId="7B581B6C" w14:textId="77777777" w:rsidR="00285B13" w:rsidRPr="00CD4E37" w:rsidRDefault="00285B13" w:rsidP="00891282">
      <w:pPr>
        <w:tabs>
          <w:tab w:val="clear" w:pos="567"/>
        </w:tabs>
        <w:spacing w:line="240" w:lineRule="auto"/>
        <w:rPr>
          <w:lang w:val="nl-NL"/>
        </w:rPr>
      </w:pPr>
    </w:p>
    <w:p w14:paraId="7E20FEBC" w14:textId="77777777" w:rsidR="00285B13" w:rsidRPr="00CD4E37" w:rsidRDefault="00285B13" w:rsidP="00891282">
      <w:pPr>
        <w:keepNext/>
        <w:spacing w:line="240" w:lineRule="auto"/>
        <w:rPr>
          <w:b/>
          <w:szCs w:val="22"/>
          <w:lang w:val="nl-NL"/>
        </w:rPr>
      </w:pPr>
      <w:r w:rsidRPr="00CD4E37">
        <w:rPr>
          <w:b/>
          <w:bCs/>
          <w:szCs w:val="22"/>
          <w:lang w:val="nl-NL"/>
        </w:rPr>
        <w:t>5.3</w:t>
      </w:r>
      <w:r w:rsidRPr="00CD4E37">
        <w:rPr>
          <w:b/>
          <w:bCs/>
          <w:szCs w:val="22"/>
          <w:lang w:val="nl-NL"/>
        </w:rPr>
        <w:tab/>
        <w:t>Gegevens uit het preklinisch veiligheidsonderzoek</w:t>
      </w:r>
    </w:p>
    <w:p w14:paraId="52D95FEB" w14:textId="77777777" w:rsidR="00285B13" w:rsidRPr="00CD4E37" w:rsidRDefault="00285B13" w:rsidP="00891282">
      <w:pPr>
        <w:keepNext/>
        <w:tabs>
          <w:tab w:val="clear" w:pos="567"/>
        </w:tabs>
        <w:spacing w:line="240" w:lineRule="auto"/>
        <w:rPr>
          <w:lang w:val="nl-NL"/>
        </w:rPr>
      </w:pPr>
    </w:p>
    <w:p w14:paraId="78418A51" w14:textId="22C85CC5" w:rsidR="00285B13" w:rsidRPr="00CD4E37" w:rsidRDefault="00285B13" w:rsidP="00891282">
      <w:pPr>
        <w:tabs>
          <w:tab w:val="clear" w:pos="567"/>
        </w:tabs>
        <w:spacing w:line="240" w:lineRule="auto"/>
        <w:rPr>
          <w:lang w:val="nl-NL"/>
        </w:rPr>
      </w:pPr>
      <w:r w:rsidRPr="00CD4E37">
        <w:rPr>
          <w:lang w:val="nl-NL"/>
        </w:rPr>
        <w:t xml:space="preserve">In genotoxiciteitsonderzoeken was quizartinib mutageen in een bacteriële reverse-mutatietest, maar niet in een mutatietest in zoogdiercellen (thymidinekinase bij muizenlymfoom) </w:t>
      </w:r>
      <w:bookmarkStart w:id="43" w:name="_Hlk86190434"/>
      <w:r w:rsidRPr="00CD4E37">
        <w:rPr>
          <w:lang w:val="nl-NL"/>
        </w:rPr>
        <w:t xml:space="preserve">of in een mutatietest </w:t>
      </w:r>
      <w:r w:rsidRPr="00CD4E37">
        <w:rPr>
          <w:i/>
          <w:iCs/>
          <w:lang w:val="nl-NL"/>
        </w:rPr>
        <w:t>in</w:t>
      </w:r>
      <w:r w:rsidRPr="00CD4E37">
        <w:rPr>
          <w:lang w:val="nl-NL"/>
        </w:rPr>
        <w:t> </w:t>
      </w:r>
      <w:r w:rsidRPr="00CD4E37">
        <w:rPr>
          <w:i/>
          <w:iCs/>
          <w:lang w:val="nl-NL"/>
        </w:rPr>
        <w:t>vivo</w:t>
      </w:r>
      <w:r w:rsidRPr="00CD4E37">
        <w:rPr>
          <w:lang w:val="nl-NL"/>
        </w:rPr>
        <w:t xml:space="preserve"> bij transgene knaagdieren</w:t>
      </w:r>
      <w:bookmarkEnd w:id="43"/>
      <w:r w:rsidRPr="00CD4E37">
        <w:rPr>
          <w:lang w:val="nl-NL"/>
        </w:rPr>
        <w:t xml:space="preserve">. Quizartinib was niet clastogeen en induceerde geen polyploïdie in een chromosoomaberratietest en was niet clastogeen of aneugeen in een micronucleustest op beenmerg van ratten na een enkele dosis. Een </w:t>
      </w:r>
      <w:r w:rsidRPr="00B438F8">
        <w:rPr>
          <w:lang w:val="nl-NL"/>
        </w:rPr>
        <w:t>in</w:t>
      </w:r>
      <w:r w:rsidR="007D5140">
        <w:rPr>
          <w:lang w:val="nl-NL"/>
        </w:rPr>
        <w:t>-</w:t>
      </w:r>
      <w:r w:rsidRPr="00B438F8">
        <w:rPr>
          <w:lang w:val="nl-NL"/>
        </w:rPr>
        <w:t>vivo</w:t>
      </w:r>
      <w:r w:rsidRPr="00CD4E37">
        <w:rPr>
          <w:lang w:val="nl-NL"/>
        </w:rPr>
        <w:t>micronucleustest op beenmerg van ratten was niet-eenduidig na 28 dagen herhaalde dosering. Na een enkele hogere dosis was het resultaat negatief.</w:t>
      </w:r>
    </w:p>
    <w:p w14:paraId="05643E5D" w14:textId="77777777" w:rsidR="00285B13" w:rsidRPr="00CD4E37" w:rsidRDefault="00285B13" w:rsidP="00891282">
      <w:pPr>
        <w:tabs>
          <w:tab w:val="clear" w:pos="567"/>
        </w:tabs>
        <w:spacing w:line="240" w:lineRule="auto"/>
        <w:rPr>
          <w:lang w:val="nl-NL"/>
        </w:rPr>
      </w:pPr>
    </w:p>
    <w:p w14:paraId="71B92FDA" w14:textId="2283D5B5" w:rsidR="00285B13" w:rsidRPr="00CD4E37" w:rsidRDefault="00285B13" w:rsidP="00891282">
      <w:pPr>
        <w:tabs>
          <w:tab w:val="clear" w:pos="567"/>
        </w:tabs>
        <w:spacing w:line="240" w:lineRule="auto"/>
        <w:rPr>
          <w:lang w:val="nl-NL"/>
        </w:rPr>
      </w:pPr>
      <w:bookmarkStart w:id="44" w:name="_Hlk128573842"/>
      <w:r w:rsidRPr="00CD4E37">
        <w:rPr>
          <w:lang w:val="nl-NL"/>
        </w:rPr>
        <w:t xml:space="preserve">Er is geen dieronderzoek naar de vruchtbaarheid uitgevoerd met quizartinib. In onderzoeken naar de toxiciteit bij herhaalde dosering bij ratten en apen werden echter nadelige bevindingen waargenomen met betrekking tot het mannelijke en vrouwelijke voortplantingsstelsel. Bij vrouwtjesratten werden ovariumcysten en veranderingen in het vaginaslijmvlies waargenomen bij doses van ongeveer 10 keer de aanbevolen dosis bij mensen (RHD, </w:t>
      </w:r>
      <w:r w:rsidRPr="00CD4E37">
        <w:rPr>
          <w:i/>
          <w:iCs/>
          <w:lang w:val="nl-NL"/>
        </w:rPr>
        <w:t>recommended human dose</w:t>
      </w:r>
      <w:r w:rsidRPr="00CD4E37">
        <w:rPr>
          <w:lang w:val="nl-NL"/>
        </w:rPr>
        <w:t>) op basis van de AUC. Bevindingen bij vrouwtjesapen waren onder andere atrofie van de uterus, ovari</w:t>
      </w:r>
      <w:r w:rsidR="001D3BB2">
        <w:rPr>
          <w:lang w:val="nl-NL"/>
        </w:rPr>
        <w:t>a</w:t>
      </w:r>
      <w:r w:rsidRPr="00CD4E37">
        <w:rPr>
          <w:lang w:val="nl-NL"/>
        </w:rPr>
        <w:t xml:space="preserve"> en vagina; dit werd waargenomen bij doses van ongeveer 0,3 keer de RHD op basis van de AUC. De overeenkomstige hoogste concentraties waarbij geen nadelige effecten werden waargenomen (NOAEL's, </w:t>
      </w:r>
      <w:r w:rsidRPr="00CD4E37">
        <w:rPr>
          <w:i/>
          <w:iCs/>
          <w:lang w:val="nl-NL"/>
        </w:rPr>
        <w:t>no observed adverse effect levels</w:t>
      </w:r>
      <w:r w:rsidRPr="00CD4E37">
        <w:rPr>
          <w:lang w:val="nl-NL"/>
        </w:rPr>
        <w:t>) voor deze veranderingen bedroegen respectievelijk 1,5 keer en 0,1 keer de RHD, op basis van de AUC. Bij mannetjesratten werden degeneratie van de tubuli seminiferi van de testes en niet vrijkomen van sperma waargenomen bij ongeveer 8 keer de RHD op basis van de AUC. Bevindingen bij mannetjesapen zijn onder andere depletie van kiemcellen in de testes; dit werd waargenomen bij ongeveer 0,5 keer de RHD op basis van de AUC. De overeenkomstige NOAEL's voor deze veranderingen bedroegen respectievelijk 1,4 keer en 0,1 keer de RHD, op basis van de AUC. Na een herstelperiode van vier weken waren al deze bevindingen omkeerbaar, met uitzondering van de veranderingen in het vaginaslijmvlies bij vrouwtjesratten.</w:t>
      </w:r>
    </w:p>
    <w:bookmarkEnd w:id="44"/>
    <w:p w14:paraId="686DB5A1" w14:textId="77777777" w:rsidR="00285B13" w:rsidRPr="00CD4E37" w:rsidRDefault="00285B13" w:rsidP="00891282">
      <w:pPr>
        <w:tabs>
          <w:tab w:val="clear" w:pos="567"/>
        </w:tabs>
        <w:spacing w:line="240" w:lineRule="auto"/>
        <w:rPr>
          <w:lang w:val="nl-NL"/>
        </w:rPr>
      </w:pPr>
    </w:p>
    <w:p w14:paraId="53DDD002" w14:textId="77777777" w:rsidR="00285B13" w:rsidRPr="00CD4E37" w:rsidRDefault="00285B13" w:rsidP="00891282">
      <w:pPr>
        <w:tabs>
          <w:tab w:val="clear" w:pos="567"/>
        </w:tabs>
        <w:spacing w:line="240" w:lineRule="auto"/>
        <w:rPr>
          <w:lang w:val="nl-NL"/>
        </w:rPr>
      </w:pPr>
      <w:r w:rsidRPr="00CD4E37">
        <w:rPr>
          <w:lang w:val="nl-NL"/>
        </w:rPr>
        <w:t>Bij onderzoeken naar embryofoetale toxiciteit werden embryofoetale letaliteit en een toegenomen verlies na innesteling waargenomen bij maternaal toxische doses. Foetotoxiciteit (lager gewicht van de foetus, effecten op ossificatie van het skelet) en teratogeniciteit (afwijkingen bij de foetus, waaronder oedeem) werden waargenomen bij doses van ongeveer 3 keer de RHD op basis van de AUC. De NOAEL was 0,5 keer de RHD op basis van de AUC. Quizartinib wordt beschouwd als potentieel teratogeen.</w:t>
      </w:r>
    </w:p>
    <w:p w14:paraId="7F81B37D" w14:textId="77777777" w:rsidR="00285B13" w:rsidRPr="00CD4E37" w:rsidRDefault="00285B13" w:rsidP="00891282">
      <w:pPr>
        <w:tabs>
          <w:tab w:val="clear" w:pos="567"/>
        </w:tabs>
        <w:spacing w:line="240" w:lineRule="auto"/>
        <w:rPr>
          <w:lang w:val="nl-NL"/>
        </w:rPr>
      </w:pPr>
    </w:p>
    <w:p w14:paraId="2DCFCFA7"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Toxicologische onderzoeken bij dieren</w:t>
      </w:r>
    </w:p>
    <w:p w14:paraId="185DFC48" w14:textId="77777777" w:rsidR="00285B13" w:rsidRPr="00CD4E37" w:rsidRDefault="00285B13" w:rsidP="00891282">
      <w:pPr>
        <w:keepNext/>
        <w:tabs>
          <w:tab w:val="clear" w:pos="567"/>
        </w:tabs>
        <w:spacing w:line="240" w:lineRule="auto"/>
        <w:rPr>
          <w:szCs w:val="22"/>
          <w:lang w:val="nl-NL"/>
        </w:rPr>
      </w:pPr>
    </w:p>
    <w:p w14:paraId="68A41BFD" w14:textId="623F021D" w:rsidR="00285B13" w:rsidRPr="00CD4E37" w:rsidRDefault="00285B13" w:rsidP="00891282">
      <w:pPr>
        <w:tabs>
          <w:tab w:val="clear" w:pos="567"/>
        </w:tabs>
        <w:spacing w:line="240" w:lineRule="auto"/>
        <w:rPr>
          <w:szCs w:val="22"/>
          <w:lang w:val="nl-NL"/>
        </w:rPr>
      </w:pPr>
      <w:r w:rsidRPr="00CD4E37">
        <w:rPr>
          <w:szCs w:val="22"/>
          <w:lang w:val="nl-NL"/>
        </w:rPr>
        <w:t xml:space="preserve">In onderzoeken naar de toxiciteit bij herhaalde dosering werd </w:t>
      </w:r>
      <w:r w:rsidR="00CB45DB" w:rsidRPr="00CD4E37">
        <w:rPr>
          <w:szCs w:val="22"/>
          <w:lang w:val="nl-NL"/>
        </w:rPr>
        <w:t>waargenomen</w:t>
      </w:r>
      <w:r w:rsidR="00CB45DB">
        <w:rPr>
          <w:szCs w:val="22"/>
          <w:lang w:val="nl-NL"/>
        </w:rPr>
        <w:t>:</w:t>
      </w:r>
      <w:r w:rsidR="00CB45DB" w:rsidRPr="00CD4E37">
        <w:rPr>
          <w:szCs w:val="22"/>
          <w:lang w:val="nl-NL"/>
        </w:rPr>
        <w:t xml:space="preserve"> </w:t>
      </w:r>
      <w:r w:rsidRPr="00CD4E37">
        <w:rPr>
          <w:szCs w:val="22"/>
          <w:lang w:val="nl-NL"/>
        </w:rPr>
        <w:t xml:space="preserve">hematopoëtische toxiciteit en toxiciteit voor de lymfoïde organen, waaronder een afname van het aantal perifere </w:t>
      </w:r>
      <w:r w:rsidRPr="00CD4E37">
        <w:rPr>
          <w:szCs w:val="22"/>
          <w:lang w:val="nl-NL"/>
        </w:rPr>
        <w:lastRenderedPageBreak/>
        <w:t>bloedcellen en hypocellulariteit van het beenmerg; levertoxiciteit, waaronder verhoogde waarden van aminotransferasen, hepatocellulaire necrose en afzetting van kristallen met dubbele breking (bij honden)</w:t>
      </w:r>
      <w:r w:rsidR="004D453A">
        <w:rPr>
          <w:szCs w:val="22"/>
          <w:lang w:val="nl-NL"/>
        </w:rPr>
        <w:t>;</w:t>
      </w:r>
      <w:r w:rsidRPr="00CD4E37">
        <w:rPr>
          <w:szCs w:val="22"/>
          <w:lang w:val="nl-NL"/>
        </w:rPr>
        <w:t xml:space="preserve"> en niertoxiciteit, waaronder tubulaire basofilie en afzetting van kristallen met dubbele breking (bij mannetjesratten). Deze veranderingen werden waargenomen bij respectievelijk ongeveer 0,4 keer, 0,4 keer en 9 keer de RHD op basis van de AUC. De overeenkomstige NOAEL's bedroegen respectievelijk ongeveer 0,1 keer, 0,1 keer en 1,5 keer de RHD op basis van de AUC.</w:t>
      </w:r>
    </w:p>
    <w:p w14:paraId="7AD29DD6" w14:textId="77777777" w:rsidR="00285B13" w:rsidRPr="00CD4E37" w:rsidRDefault="00285B13" w:rsidP="00891282">
      <w:pPr>
        <w:tabs>
          <w:tab w:val="clear" w:pos="567"/>
        </w:tabs>
        <w:spacing w:line="240" w:lineRule="auto"/>
        <w:rPr>
          <w:szCs w:val="22"/>
          <w:lang w:val="nl-NL"/>
        </w:rPr>
      </w:pPr>
    </w:p>
    <w:p w14:paraId="7CFE0E47"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 xml:space="preserve">Farmacologische veiligheidsonderzoeken </w:t>
      </w:r>
      <w:r w:rsidRPr="00CD4E37">
        <w:rPr>
          <w:i/>
          <w:iCs/>
          <w:szCs w:val="22"/>
          <w:u w:val="single"/>
          <w:lang w:val="nl-NL"/>
        </w:rPr>
        <w:t>in</w:t>
      </w:r>
      <w:r w:rsidRPr="00CD4E37">
        <w:rPr>
          <w:szCs w:val="22"/>
          <w:u w:val="single"/>
          <w:lang w:val="nl-NL"/>
        </w:rPr>
        <w:t> </w:t>
      </w:r>
      <w:r w:rsidRPr="00CD4E37">
        <w:rPr>
          <w:i/>
          <w:iCs/>
          <w:szCs w:val="22"/>
          <w:u w:val="single"/>
          <w:lang w:val="nl-NL"/>
        </w:rPr>
        <w:t>vitro</w:t>
      </w:r>
      <w:r w:rsidRPr="00CD4E37">
        <w:rPr>
          <w:szCs w:val="22"/>
          <w:u w:val="single"/>
          <w:lang w:val="nl-NL"/>
        </w:rPr>
        <w:t xml:space="preserve"> en bij dieren</w:t>
      </w:r>
    </w:p>
    <w:p w14:paraId="3976BD98" w14:textId="77777777" w:rsidR="00285B13" w:rsidRPr="00CD4E37" w:rsidRDefault="00285B13" w:rsidP="00891282">
      <w:pPr>
        <w:keepNext/>
        <w:tabs>
          <w:tab w:val="clear" w:pos="567"/>
        </w:tabs>
        <w:spacing w:line="240" w:lineRule="auto"/>
        <w:rPr>
          <w:szCs w:val="22"/>
          <w:lang w:val="nl-NL"/>
        </w:rPr>
      </w:pPr>
    </w:p>
    <w:p w14:paraId="1B54372E" w14:textId="77777777" w:rsidR="00285B13" w:rsidRPr="00CD4E37" w:rsidRDefault="00285B13" w:rsidP="00891282">
      <w:pPr>
        <w:tabs>
          <w:tab w:val="clear" w:pos="567"/>
        </w:tabs>
        <w:spacing w:line="240" w:lineRule="auto"/>
        <w:rPr>
          <w:szCs w:val="22"/>
          <w:lang w:val="nl-NL"/>
        </w:rPr>
      </w:pPr>
      <w:r w:rsidRPr="00CD4E37">
        <w:rPr>
          <w:szCs w:val="22"/>
          <w:lang w:val="nl-NL"/>
        </w:rPr>
        <w:t>In farmacologische onderzoeken naar de cardiovasculaire veiligheid uitgevoerd bij Java-apen leidde quizartinib tot verlenging van het QT-interval bij doses van ongeveer 2 keer de RHD van 53 mg/dag op basis van de C</w:t>
      </w:r>
      <w:r w:rsidRPr="00CD4E37">
        <w:rPr>
          <w:szCs w:val="22"/>
          <w:vertAlign w:val="subscript"/>
          <w:lang w:val="nl-NL"/>
        </w:rPr>
        <w:t>max.</w:t>
      </w:r>
      <w:r w:rsidRPr="00CD4E37">
        <w:rPr>
          <w:szCs w:val="22"/>
          <w:lang w:val="nl-NL"/>
        </w:rPr>
        <w:t xml:space="preserve"> </w:t>
      </w:r>
      <w:r w:rsidRPr="00CD4E37">
        <w:rPr>
          <w:lang w:val="nl-NL"/>
        </w:rPr>
        <w:t>De NOAEL was ongeveer 0,4 keer de RHD op basis van de C</w:t>
      </w:r>
      <w:r w:rsidRPr="00CD4E37">
        <w:rPr>
          <w:vertAlign w:val="subscript"/>
          <w:lang w:val="nl-NL"/>
        </w:rPr>
        <w:t>max</w:t>
      </w:r>
      <w:r w:rsidRPr="00CD4E37">
        <w:rPr>
          <w:lang w:val="nl-NL"/>
        </w:rPr>
        <w:t xml:space="preserve">. </w:t>
      </w:r>
      <w:r w:rsidRPr="00CD4E37">
        <w:rPr>
          <w:szCs w:val="22"/>
          <w:lang w:val="nl-NL"/>
        </w:rPr>
        <w:t>Quizartinib remde voornamelijk de I</w:t>
      </w:r>
      <w:r w:rsidRPr="00CD4E37">
        <w:rPr>
          <w:szCs w:val="22"/>
          <w:vertAlign w:val="subscript"/>
          <w:lang w:val="nl-NL"/>
        </w:rPr>
        <w:t>Ks</w:t>
      </w:r>
      <w:r w:rsidRPr="00CD4E37">
        <w:rPr>
          <w:szCs w:val="22"/>
          <w:lang w:val="nl-NL"/>
        </w:rPr>
        <w:t xml:space="preserve"> met een maximale remming van 67,5% bij 2,9 µM. De maximale remming van de I</w:t>
      </w:r>
      <w:r w:rsidRPr="00CD4E37">
        <w:rPr>
          <w:szCs w:val="22"/>
          <w:vertAlign w:val="subscript"/>
          <w:lang w:val="nl-NL"/>
        </w:rPr>
        <w:t>Ks</w:t>
      </w:r>
      <w:r w:rsidRPr="00CD4E37">
        <w:rPr>
          <w:szCs w:val="22"/>
          <w:lang w:val="nl-NL"/>
        </w:rPr>
        <w:t xml:space="preserve"> door AC886 was 26,9% bij 2,9 µM. Quizartinib en AC886 bij 3 μM leidden tot een statistisch significante remming van hERG-stromen met respectievelijk 16,4% en 12,0%. Bij alle geteste concentraties hadden quizartinib en AC886 geen van beide een remmend effect op I</w:t>
      </w:r>
      <w:r w:rsidRPr="00CD4E37">
        <w:rPr>
          <w:szCs w:val="22"/>
          <w:vertAlign w:val="subscript"/>
          <w:lang w:val="nl-NL"/>
        </w:rPr>
        <w:t>Na</w:t>
      </w:r>
      <w:r w:rsidRPr="00CD4E37">
        <w:rPr>
          <w:szCs w:val="22"/>
          <w:lang w:val="nl-NL"/>
        </w:rPr>
        <w:t>, I</w:t>
      </w:r>
      <w:r w:rsidRPr="00CD4E37">
        <w:rPr>
          <w:szCs w:val="22"/>
          <w:vertAlign w:val="subscript"/>
          <w:lang w:val="nl-NL"/>
        </w:rPr>
        <w:t>Na-L</w:t>
      </w:r>
      <w:r w:rsidRPr="00CD4E37">
        <w:rPr>
          <w:szCs w:val="22"/>
          <w:lang w:val="nl-NL"/>
        </w:rPr>
        <w:t xml:space="preserve"> of I</w:t>
      </w:r>
      <w:r w:rsidRPr="00CD4E37">
        <w:rPr>
          <w:szCs w:val="22"/>
          <w:vertAlign w:val="subscript"/>
          <w:lang w:val="nl-NL"/>
        </w:rPr>
        <w:t>Ca-L</w:t>
      </w:r>
      <w:r w:rsidRPr="00CD4E37">
        <w:rPr>
          <w:szCs w:val="22"/>
          <w:lang w:val="nl-NL"/>
        </w:rPr>
        <w:t>.</w:t>
      </w:r>
    </w:p>
    <w:p w14:paraId="08D593B7" w14:textId="77777777" w:rsidR="00285B13" w:rsidRPr="00CD4E37" w:rsidRDefault="00285B13" w:rsidP="00891282">
      <w:pPr>
        <w:tabs>
          <w:tab w:val="clear" w:pos="567"/>
        </w:tabs>
        <w:spacing w:line="240" w:lineRule="auto"/>
        <w:rPr>
          <w:szCs w:val="22"/>
          <w:lang w:val="nl-NL"/>
        </w:rPr>
      </w:pPr>
    </w:p>
    <w:p w14:paraId="04908935" w14:textId="77777777" w:rsidR="00285B13" w:rsidRPr="00CD4E37" w:rsidRDefault="00285B13" w:rsidP="00891282">
      <w:pPr>
        <w:tabs>
          <w:tab w:val="clear" w:pos="567"/>
        </w:tabs>
        <w:spacing w:line="240" w:lineRule="auto"/>
        <w:rPr>
          <w:szCs w:val="22"/>
          <w:lang w:val="nl-NL"/>
        </w:rPr>
      </w:pPr>
    </w:p>
    <w:p w14:paraId="37EC72CC" w14:textId="77777777" w:rsidR="00285B13" w:rsidRPr="00CD4E37" w:rsidRDefault="00285B13" w:rsidP="00891282">
      <w:pPr>
        <w:keepNext/>
        <w:suppressAutoHyphens/>
        <w:spacing w:line="240" w:lineRule="auto"/>
        <w:ind w:left="567" w:hanging="567"/>
        <w:rPr>
          <w:b/>
          <w:szCs w:val="22"/>
          <w:lang w:val="nl-NL"/>
        </w:rPr>
      </w:pPr>
      <w:r w:rsidRPr="00CD4E37">
        <w:rPr>
          <w:b/>
          <w:bCs/>
          <w:szCs w:val="22"/>
          <w:lang w:val="nl-NL"/>
        </w:rPr>
        <w:t>6.</w:t>
      </w:r>
      <w:r w:rsidRPr="00CD4E37">
        <w:rPr>
          <w:b/>
          <w:bCs/>
          <w:szCs w:val="22"/>
          <w:lang w:val="nl-NL"/>
        </w:rPr>
        <w:tab/>
        <w:t>FARMACEUTISCHE GEGEVENS</w:t>
      </w:r>
    </w:p>
    <w:p w14:paraId="04FCCCF6" w14:textId="77777777" w:rsidR="00285B13" w:rsidRPr="00CD4E37" w:rsidRDefault="00285B13" w:rsidP="00891282">
      <w:pPr>
        <w:keepNext/>
        <w:tabs>
          <w:tab w:val="clear" w:pos="567"/>
        </w:tabs>
        <w:spacing w:line="240" w:lineRule="auto"/>
        <w:rPr>
          <w:szCs w:val="22"/>
          <w:lang w:val="nl-NL"/>
        </w:rPr>
      </w:pPr>
    </w:p>
    <w:p w14:paraId="714FAC77" w14:textId="77777777" w:rsidR="00285B13" w:rsidRPr="00CD4E37" w:rsidRDefault="00285B13" w:rsidP="00891282">
      <w:pPr>
        <w:keepNext/>
        <w:spacing w:line="240" w:lineRule="auto"/>
        <w:rPr>
          <w:b/>
          <w:szCs w:val="22"/>
          <w:lang w:val="nl-NL"/>
        </w:rPr>
      </w:pPr>
      <w:r w:rsidRPr="00CD4E37">
        <w:rPr>
          <w:b/>
          <w:bCs/>
          <w:szCs w:val="22"/>
          <w:lang w:val="nl-NL"/>
        </w:rPr>
        <w:t>6.1</w:t>
      </w:r>
      <w:r w:rsidRPr="00CD4E37">
        <w:rPr>
          <w:b/>
          <w:bCs/>
          <w:szCs w:val="22"/>
          <w:lang w:val="nl-NL"/>
        </w:rPr>
        <w:tab/>
        <w:t>Lijst van hulpstoffen</w:t>
      </w:r>
    </w:p>
    <w:p w14:paraId="18984CCA" w14:textId="77777777" w:rsidR="00285B13" w:rsidRPr="00CD4E37" w:rsidRDefault="00285B13" w:rsidP="00891282">
      <w:pPr>
        <w:keepNext/>
        <w:tabs>
          <w:tab w:val="clear" w:pos="567"/>
        </w:tabs>
        <w:spacing w:line="240" w:lineRule="auto"/>
        <w:rPr>
          <w:szCs w:val="22"/>
          <w:lang w:val="nl-NL"/>
        </w:rPr>
      </w:pPr>
    </w:p>
    <w:p w14:paraId="25C6A917" w14:textId="77777777" w:rsidR="00285B13" w:rsidRPr="00CD4E37" w:rsidRDefault="00285B13" w:rsidP="00891282">
      <w:pPr>
        <w:keepNext/>
        <w:tabs>
          <w:tab w:val="clear" w:pos="567"/>
        </w:tabs>
        <w:spacing w:line="240" w:lineRule="auto"/>
        <w:rPr>
          <w:szCs w:val="22"/>
          <w:u w:val="single"/>
          <w:lang w:val="nl-NL"/>
        </w:rPr>
      </w:pPr>
      <w:r w:rsidRPr="00CD4E37">
        <w:rPr>
          <w:szCs w:val="22"/>
          <w:u w:val="single"/>
          <w:lang w:val="nl-NL"/>
        </w:rPr>
        <w:t>VANFLYTA 17,7 mg filmomhulde tabletten</w:t>
      </w:r>
    </w:p>
    <w:p w14:paraId="5151AAAD" w14:textId="77777777" w:rsidR="00285B13" w:rsidRPr="00CD4E37" w:rsidRDefault="00285B13" w:rsidP="00891282">
      <w:pPr>
        <w:keepNext/>
        <w:tabs>
          <w:tab w:val="clear" w:pos="567"/>
        </w:tabs>
        <w:spacing w:line="240" w:lineRule="auto"/>
        <w:rPr>
          <w:szCs w:val="22"/>
          <w:lang w:val="nl-NL"/>
        </w:rPr>
      </w:pPr>
    </w:p>
    <w:p w14:paraId="450D8816" w14:textId="77777777" w:rsidR="00285B13" w:rsidRPr="00CD4E37" w:rsidRDefault="00285B13" w:rsidP="00891282">
      <w:pPr>
        <w:keepNext/>
        <w:tabs>
          <w:tab w:val="clear" w:pos="567"/>
        </w:tabs>
        <w:spacing w:line="240" w:lineRule="auto"/>
        <w:rPr>
          <w:i/>
          <w:szCs w:val="22"/>
          <w:lang w:val="nl-NL"/>
        </w:rPr>
      </w:pPr>
      <w:r w:rsidRPr="00CD4E37">
        <w:rPr>
          <w:i/>
          <w:iCs/>
          <w:szCs w:val="22"/>
          <w:lang w:val="nl-NL"/>
        </w:rPr>
        <w:t>Tabletkern</w:t>
      </w:r>
    </w:p>
    <w:p w14:paraId="332A9AA5" w14:textId="77777777" w:rsidR="00285B13" w:rsidRPr="00CD4E37" w:rsidRDefault="00285B13" w:rsidP="00543664">
      <w:pPr>
        <w:keepNext/>
        <w:tabs>
          <w:tab w:val="clear" w:pos="567"/>
        </w:tabs>
        <w:spacing w:line="240" w:lineRule="auto"/>
        <w:rPr>
          <w:szCs w:val="22"/>
          <w:lang w:val="nl-NL"/>
        </w:rPr>
      </w:pPr>
      <w:r w:rsidRPr="00CD4E37">
        <w:rPr>
          <w:szCs w:val="22"/>
          <w:lang w:val="nl-NL"/>
        </w:rPr>
        <w:t>Hydroxypropylbetadex</w:t>
      </w:r>
    </w:p>
    <w:p w14:paraId="047B7FF1" w14:textId="77777777" w:rsidR="00285B13" w:rsidRPr="00CD4E37" w:rsidRDefault="00285B13" w:rsidP="00543664">
      <w:pPr>
        <w:keepNext/>
        <w:tabs>
          <w:tab w:val="clear" w:pos="567"/>
        </w:tabs>
        <w:spacing w:line="240" w:lineRule="auto"/>
        <w:rPr>
          <w:szCs w:val="22"/>
          <w:lang w:val="nl-NL"/>
        </w:rPr>
      </w:pPr>
      <w:r w:rsidRPr="00CD4E37">
        <w:rPr>
          <w:szCs w:val="22"/>
          <w:lang w:val="nl-NL"/>
        </w:rPr>
        <w:t>Cellulose, microkristallijn (E460)</w:t>
      </w:r>
    </w:p>
    <w:p w14:paraId="10E7E56B" w14:textId="77777777" w:rsidR="00285B13" w:rsidRPr="00B22B7D" w:rsidRDefault="00285B13" w:rsidP="00891282">
      <w:pPr>
        <w:tabs>
          <w:tab w:val="clear" w:pos="567"/>
        </w:tabs>
        <w:spacing w:line="240" w:lineRule="auto"/>
        <w:rPr>
          <w:szCs w:val="22"/>
          <w:lang w:val="nl-NL"/>
        </w:rPr>
      </w:pPr>
      <w:r w:rsidRPr="00B22B7D">
        <w:rPr>
          <w:szCs w:val="22"/>
          <w:lang w:val="nl-NL"/>
        </w:rPr>
        <w:t>Magnesiumstearaat</w:t>
      </w:r>
    </w:p>
    <w:p w14:paraId="2B58FB6F" w14:textId="77777777" w:rsidR="00285B13" w:rsidRPr="00B22B7D" w:rsidRDefault="00285B13" w:rsidP="00891282">
      <w:pPr>
        <w:tabs>
          <w:tab w:val="clear" w:pos="567"/>
        </w:tabs>
        <w:spacing w:line="240" w:lineRule="auto"/>
        <w:rPr>
          <w:szCs w:val="22"/>
          <w:lang w:val="nl-NL"/>
        </w:rPr>
      </w:pPr>
    </w:p>
    <w:p w14:paraId="0FB2A8B2" w14:textId="77777777" w:rsidR="00285B13" w:rsidRPr="00796904" w:rsidRDefault="00285B13" w:rsidP="00891282">
      <w:pPr>
        <w:keepNext/>
        <w:tabs>
          <w:tab w:val="clear" w:pos="567"/>
        </w:tabs>
        <w:spacing w:line="240" w:lineRule="auto"/>
        <w:rPr>
          <w:i/>
          <w:lang w:val="nl-NL"/>
        </w:rPr>
      </w:pPr>
      <w:r w:rsidRPr="00796904">
        <w:rPr>
          <w:i/>
          <w:iCs/>
          <w:lang w:val="nl-NL"/>
        </w:rPr>
        <w:t>Filmomhulling</w:t>
      </w:r>
    </w:p>
    <w:p w14:paraId="53FE6032" w14:textId="77777777" w:rsidR="00285B13" w:rsidRPr="00796904" w:rsidRDefault="00285B13" w:rsidP="00543664">
      <w:pPr>
        <w:keepNext/>
        <w:tabs>
          <w:tab w:val="clear" w:pos="567"/>
        </w:tabs>
        <w:spacing w:line="240" w:lineRule="auto"/>
        <w:rPr>
          <w:lang w:val="nl-NL"/>
        </w:rPr>
      </w:pPr>
      <w:r w:rsidRPr="00796904">
        <w:rPr>
          <w:lang w:val="nl-NL"/>
        </w:rPr>
        <w:t>Hypromellose</w:t>
      </w:r>
      <w:r w:rsidRPr="00796904">
        <w:rPr>
          <w:szCs w:val="22"/>
          <w:lang w:val="nl-NL"/>
        </w:rPr>
        <w:t xml:space="preserve"> (E464)</w:t>
      </w:r>
    </w:p>
    <w:p w14:paraId="60BD4C75" w14:textId="77777777" w:rsidR="00285B13" w:rsidRPr="00796904" w:rsidRDefault="00285B13" w:rsidP="00543664">
      <w:pPr>
        <w:keepNext/>
        <w:tabs>
          <w:tab w:val="clear" w:pos="567"/>
        </w:tabs>
        <w:spacing w:line="240" w:lineRule="auto"/>
        <w:rPr>
          <w:lang w:val="nl-NL"/>
        </w:rPr>
      </w:pPr>
      <w:r w:rsidRPr="00796904">
        <w:rPr>
          <w:lang w:val="nl-NL"/>
        </w:rPr>
        <w:t>Talk</w:t>
      </w:r>
      <w:r w:rsidRPr="00796904">
        <w:rPr>
          <w:szCs w:val="22"/>
          <w:lang w:val="nl-NL"/>
        </w:rPr>
        <w:t xml:space="preserve"> (E553b)</w:t>
      </w:r>
    </w:p>
    <w:p w14:paraId="592B0CBA" w14:textId="77777777" w:rsidR="00285B13" w:rsidRPr="00CD4E37" w:rsidRDefault="00285B13" w:rsidP="00543664">
      <w:pPr>
        <w:keepNext/>
        <w:tabs>
          <w:tab w:val="clear" w:pos="567"/>
        </w:tabs>
        <w:spacing w:line="240" w:lineRule="auto"/>
        <w:rPr>
          <w:lang w:val="nl-NL"/>
        </w:rPr>
      </w:pPr>
      <w:r w:rsidRPr="00CD4E37">
        <w:rPr>
          <w:lang w:val="nl-NL"/>
        </w:rPr>
        <w:t>Triacetine</w:t>
      </w:r>
      <w:r w:rsidRPr="00CD4E37">
        <w:rPr>
          <w:szCs w:val="22"/>
          <w:lang w:val="nl-NL"/>
        </w:rPr>
        <w:t xml:space="preserve"> (E1518)</w:t>
      </w:r>
    </w:p>
    <w:p w14:paraId="63942ECF" w14:textId="77777777" w:rsidR="00285B13" w:rsidRPr="00CD4E37" w:rsidRDefault="00285B13" w:rsidP="00891282">
      <w:pPr>
        <w:tabs>
          <w:tab w:val="clear" w:pos="567"/>
        </w:tabs>
        <w:spacing w:line="240" w:lineRule="auto"/>
        <w:rPr>
          <w:lang w:val="nl-NL"/>
        </w:rPr>
      </w:pPr>
      <w:r w:rsidRPr="00CD4E37">
        <w:rPr>
          <w:lang w:val="nl-NL"/>
        </w:rPr>
        <w:t>Titaandioxide</w:t>
      </w:r>
      <w:r w:rsidRPr="00CD4E37">
        <w:rPr>
          <w:szCs w:val="22"/>
          <w:lang w:val="nl-NL"/>
        </w:rPr>
        <w:t xml:space="preserve"> (E171)</w:t>
      </w:r>
    </w:p>
    <w:p w14:paraId="46D4A2FA" w14:textId="77777777" w:rsidR="00285B13" w:rsidRPr="00CD4E37" w:rsidRDefault="00285B13" w:rsidP="00891282">
      <w:pPr>
        <w:tabs>
          <w:tab w:val="clear" w:pos="567"/>
        </w:tabs>
        <w:spacing w:line="240" w:lineRule="auto"/>
        <w:rPr>
          <w:lang w:val="nl-NL"/>
        </w:rPr>
      </w:pPr>
    </w:p>
    <w:p w14:paraId="667D1A3F" w14:textId="77777777" w:rsidR="00285B13" w:rsidRPr="00CD4E37" w:rsidRDefault="00285B13" w:rsidP="00891282">
      <w:pPr>
        <w:keepNext/>
        <w:tabs>
          <w:tab w:val="clear" w:pos="567"/>
        </w:tabs>
        <w:spacing w:line="240" w:lineRule="auto"/>
        <w:rPr>
          <w:u w:val="single"/>
          <w:lang w:val="nl-NL"/>
        </w:rPr>
      </w:pPr>
      <w:r w:rsidRPr="00CD4E37">
        <w:rPr>
          <w:u w:val="single"/>
          <w:lang w:val="nl-NL"/>
        </w:rPr>
        <w:t>VANFLYTA 26,5 mg filmomhulde tabletten</w:t>
      </w:r>
    </w:p>
    <w:p w14:paraId="6864E363" w14:textId="77777777" w:rsidR="00285B13" w:rsidRPr="00CD4E37" w:rsidRDefault="00285B13" w:rsidP="00891282">
      <w:pPr>
        <w:keepNext/>
        <w:tabs>
          <w:tab w:val="clear" w:pos="567"/>
        </w:tabs>
        <w:spacing w:line="240" w:lineRule="auto"/>
        <w:rPr>
          <w:lang w:val="nl-NL"/>
        </w:rPr>
      </w:pPr>
    </w:p>
    <w:p w14:paraId="01743A84" w14:textId="77777777" w:rsidR="00285B13" w:rsidRPr="00CD4E37" w:rsidRDefault="00285B13" w:rsidP="00891282">
      <w:pPr>
        <w:keepNext/>
        <w:tabs>
          <w:tab w:val="clear" w:pos="567"/>
        </w:tabs>
        <w:spacing w:line="240" w:lineRule="auto"/>
        <w:rPr>
          <w:i/>
          <w:lang w:val="nl-NL"/>
        </w:rPr>
      </w:pPr>
      <w:r w:rsidRPr="00CD4E37">
        <w:rPr>
          <w:i/>
          <w:iCs/>
          <w:lang w:val="nl-NL"/>
        </w:rPr>
        <w:t>Tabletkern</w:t>
      </w:r>
    </w:p>
    <w:p w14:paraId="62F57C7E" w14:textId="77777777" w:rsidR="00285B13" w:rsidRPr="00CD4E37" w:rsidRDefault="00285B13" w:rsidP="00543664">
      <w:pPr>
        <w:keepNext/>
        <w:tabs>
          <w:tab w:val="clear" w:pos="567"/>
        </w:tabs>
        <w:spacing w:line="240" w:lineRule="auto"/>
        <w:rPr>
          <w:lang w:val="nl-NL"/>
        </w:rPr>
      </w:pPr>
      <w:r w:rsidRPr="00CD4E37">
        <w:rPr>
          <w:lang w:val="nl-NL"/>
        </w:rPr>
        <w:t>Hydroxypropylbetadex</w:t>
      </w:r>
    </w:p>
    <w:p w14:paraId="7EB5E3DC" w14:textId="77777777" w:rsidR="00285B13" w:rsidRPr="00CD4E37" w:rsidRDefault="00285B13" w:rsidP="00543664">
      <w:pPr>
        <w:keepNext/>
        <w:tabs>
          <w:tab w:val="clear" w:pos="567"/>
        </w:tabs>
        <w:spacing w:line="240" w:lineRule="auto"/>
        <w:rPr>
          <w:szCs w:val="22"/>
          <w:lang w:val="nl-NL"/>
        </w:rPr>
      </w:pPr>
      <w:r w:rsidRPr="00CD4E37">
        <w:rPr>
          <w:szCs w:val="22"/>
          <w:lang w:val="nl-NL"/>
        </w:rPr>
        <w:t>Cellulose, microkristallijn (E460)</w:t>
      </w:r>
    </w:p>
    <w:p w14:paraId="22F35E6B" w14:textId="27295DC3" w:rsidR="00285B13" w:rsidRPr="00B438F8" w:rsidRDefault="00285B13" w:rsidP="00891282">
      <w:pPr>
        <w:tabs>
          <w:tab w:val="clear" w:pos="567"/>
        </w:tabs>
        <w:spacing w:line="240" w:lineRule="auto"/>
        <w:rPr>
          <w:lang w:val="nl-NL"/>
        </w:rPr>
      </w:pPr>
      <w:r w:rsidRPr="00B438F8">
        <w:rPr>
          <w:lang w:val="nl-NL"/>
        </w:rPr>
        <w:t>Magnesiumstearaat</w:t>
      </w:r>
    </w:p>
    <w:p w14:paraId="6D79ED22" w14:textId="77777777" w:rsidR="00285B13" w:rsidRPr="00B438F8" w:rsidRDefault="00285B13" w:rsidP="00891282">
      <w:pPr>
        <w:tabs>
          <w:tab w:val="clear" w:pos="567"/>
        </w:tabs>
        <w:spacing w:line="240" w:lineRule="auto"/>
        <w:rPr>
          <w:lang w:val="nl-NL"/>
        </w:rPr>
      </w:pPr>
    </w:p>
    <w:p w14:paraId="798B2F61" w14:textId="77777777" w:rsidR="00285B13" w:rsidRPr="00796904" w:rsidRDefault="00285B13" w:rsidP="00543664">
      <w:pPr>
        <w:keepNext/>
        <w:tabs>
          <w:tab w:val="clear" w:pos="567"/>
        </w:tabs>
        <w:spacing w:line="240" w:lineRule="auto"/>
        <w:rPr>
          <w:i/>
          <w:lang w:val="nl-BE"/>
        </w:rPr>
      </w:pPr>
      <w:r w:rsidRPr="00796904">
        <w:rPr>
          <w:i/>
          <w:lang w:val="nl-BE"/>
        </w:rPr>
        <w:t>Filmomhulling</w:t>
      </w:r>
    </w:p>
    <w:p w14:paraId="6BA58A28" w14:textId="77777777" w:rsidR="00285B13" w:rsidRPr="00796904" w:rsidRDefault="00285B13" w:rsidP="00543664">
      <w:pPr>
        <w:keepNext/>
        <w:tabs>
          <w:tab w:val="clear" w:pos="567"/>
        </w:tabs>
        <w:spacing w:line="240" w:lineRule="auto"/>
        <w:rPr>
          <w:lang w:val="nl-BE"/>
        </w:rPr>
      </w:pPr>
      <w:r w:rsidRPr="00796904">
        <w:rPr>
          <w:lang w:val="nl-BE"/>
        </w:rPr>
        <w:t>Hypromellose (E464)</w:t>
      </w:r>
    </w:p>
    <w:p w14:paraId="48B20C5A" w14:textId="77777777" w:rsidR="00285B13" w:rsidRPr="00796904" w:rsidRDefault="00285B13" w:rsidP="00543664">
      <w:pPr>
        <w:keepNext/>
        <w:tabs>
          <w:tab w:val="clear" w:pos="567"/>
        </w:tabs>
        <w:spacing w:line="240" w:lineRule="auto"/>
        <w:rPr>
          <w:lang w:val="nl-BE"/>
        </w:rPr>
      </w:pPr>
      <w:r w:rsidRPr="00796904">
        <w:rPr>
          <w:lang w:val="nl-BE"/>
        </w:rPr>
        <w:t>Talk (E553b)</w:t>
      </w:r>
    </w:p>
    <w:p w14:paraId="7190C138" w14:textId="77777777" w:rsidR="00285B13" w:rsidRPr="00CD4E37" w:rsidRDefault="00285B13" w:rsidP="00543664">
      <w:pPr>
        <w:keepNext/>
        <w:tabs>
          <w:tab w:val="clear" w:pos="567"/>
        </w:tabs>
        <w:spacing w:line="240" w:lineRule="auto"/>
        <w:rPr>
          <w:lang w:val="nl-NL"/>
        </w:rPr>
      </w:pPr>
      <w:r w:rsidRPr="00CD4E37">
        <w:rPr>
          <w:lang w:val="nl-NL"/>
        </w:rPr>
        <w:t>Triacetine</w:t>
      </w:r>
      <w:r w:rsidRPr="00CD4E37">
        <w:rPr>
          <w:szCs w:val="22"/>
          <w:lang w:val="nl-NL"/>
        </w:rPr>
        <w:t xml:space="preserve"> (E1518)</w:t>
      </w:r>
    </w:p>
    <w:p w14:paraId="59516A18" w14:textId="77777777" w:rsidR="00285B13" w:rsidRPr="00CD4E37" w:rsidRDefault="00285B13" w:rsidP="00543664">
      <w:pPr>
        <w:keepNext/>
        <w:tabs>
          <w:tab w:val="clear" w:pos="567"/>
        </w:tabs>
        <w:spacing w:line="240" w:lineRule="auto"/>
        <w:rPr>
          <w:lang w:val="nl-NL"/>
        </w:rPr>
      </w:pPr>
      <w:r w:rsidRPr="00CD4E37">
        <w:rPr>
          <w:lang w:val="nl-NL"/>
        </w:rPr>
        <w:t>Titaandioxide</w:t>
      </w:r>
      <w:r w:rsidRPr="00CD4E37">
        <w:rPr>
          <w:szCs w:val="22"/>
          <w:lang w:val="nl-NL"/>
        </w:rPr>
        <w:t xml:space="preserve"> (E171)</w:t>
      </w:r>
    </w:p>
    <w:p w14:paraId="235FF22A" w14:textId="77777777" w:rsidR="00285B13" w:rsidRPr="00CD4E37" w:rsidRDefault="00285B13" w:rsidP="00891282">
      <w:pPr>
        <w:tabs>
          <w:tab w:val="clear" w:pos="567"/>
        </w:tabs>
        <w:spacing w:line="240" w:lineRule="auto"/>
        <w:rPr>
          <w:lang w:val="nl-NL"/>
        </w:rPr>
      </w:pPr>
      <w:r w:rsidRPr="00CD4E37">
        <w:rPr>
          <w:lang w:val="nl-NL"/>
        </w:rPr>
        <w:t>Geel ijzeroxide</w:t>
      </w:r>
      <w:r w:rsidRPr="00CD4E37">
        <w:rPr>
          <w:szCs w:val="22"/>
          <w:lang w:val="nl-NL"/>
        </w:rPr>
        <w:t xml:space="preserve"> (E172)</w:t>
      </w:r>
    </w:p>
    <w:p w14:paraId="32D9E7C3" w14:textId="77777777" w:rsidR="00285B13" w:rsidRPr="00CD4E37" w:rsidRDefault="00285B13" w:rsidP="00891282">
      <w:pPr>
        <w:tabs>
          <w:tab w:val="clear" w:pos="567"/>
        </w:tabs>
        <w:spacing w:line="240" w:lineRule="auto"/>
        <w:rPr>
          <w:lang w:val="nl-NL"/>
        </w:rPr>
      </w:pPr>
    </w:p>
    <w:p w14:paraId="6C9CE7A6" w14:textId="77777777" w:rsidR="00285B13" w:rsidRPr="00CD4E37" w:rsidRDefault="00285B13" w:rsidP="00891282">
      <w:pPr>
        <w:keepNext/>
        <w:spacing w:line="240" w:lineRule="auto"/>
        <w:rPr>
          <w:b/>
          <w:szCs w:val="22"/>
          <w:lang w:val="nl-NL"/>
        </w:rPr>
      </w:pPr>
      <w:r w:rsidRPr="00CD4E37">
        <w:rPr>
          <w:b/>
          <w:bCs/>
          <w:szCs w:val="22"/>
          <w:lang w:val="nl-NL"/>
        </w:rPr>
        <w:t>6.2</w:t>
      </w:r>
      <w:r w:rsidRPr="00CD4E37">
        <w:rPr>
          <w:b/>
          <w:bCs/>
          <w:szCs w:val="22"/>
          <w:lang w:val="nl-NL"/>
        </w:rPr>
        <w:tab/>
        <w:t>Gevallen van onverenigbaarheid</w:t>
      </w:r>
    </w:p>
    <w:p w14:paraId="5A6FB3E7" w14:textId="77777777" w:rsidR="00285B13" w:rsidRPr="00CD4E37" w:rsidRDefault="00285B13" w:rsidP="00891282">
      <w:pPr>
        <w:keepNext/>
        <w:tabs>
          <w:tab w:val="clear" w:pos="567"/>
        </w:tabs>
        <w:spacing w:line="240" w:lineRule="auto"/>
        <w:rPr>
          <w:szCs w:val="22"/>
          <w:lang w:val="nl-NL"/>
        </w:rPr>
      </w:pPr>
    </w:p>
    <w:p w14:paraId="0A5594A4" w14:textId="77777777" w:rsidR="00285B13" w:rsidRPr="00CD4E37" w:rsidRDefault="00285B13" w:rsidP="00891282">
      <w:pPr>
        <w:tabs>
          <w:tab w:val="clear" w:pos="567"/>
        </w:tabs>
        <w:spacing w:line="240" w:lineRule="auto"/>
        <w:rPr>
          <w:szCs w:val="22"/>
          <w:lang w:val="nl-NL"/>
        </w:rPr>
      </w:pPr>
      <w:r w:rsidRPr="00CD4E37">
        <w:rPr>
          <w:szCs w:val="22"/>
          <w:lang w:val="nl-NL"/>
        </w:rPr>
        <w:t>Niet van toepassing.</w:t>
      </w:r>
    </w:p>
    <w:p w14:paraId="10340463" w14:textId="77777777" w:rsidR="00285B13" w:rsidRPr="00CD4E37" w:rsidRDefault="00285B13" w:rsidP="00891282">
      <w:pPr>
        <w:tabs>
          <w:tab w:val="clear" w:pos="567"/>
        </w:tabs>
        <w:spacing w:line="240" w:lineRule="auto"/>
        <w:rPr>
          <w:szCs w:val="22"/>
          <w:lang w:val="nl-NL"/>
        </w:rPr>
      </w:pPr>
    </w:p>
    <w:p w14:paraId="36991545" w14:textId="77777777" w:rsidR="00285B13" w:rsidRPr="00CD4E37" w:rsidRDefault="00285B13" w:rsidP="00891282">
      <w:pPr>
        <w:keepNext/>
        <w:spacing w:line="240" w:lineRule="auto"/>
        <w:rPr>
          <w:b/>
          <w:szCs w:val="22"/>
          <w:lang w:val="nl-NL"/>
        </w:rPr>
      </w:pPr>
      <w:r w:rsidRPr="00CD4E37">
        <w:rPr>
          <w:b/>
          <w:bCs/>
          <w:szCs w:val="22"/>
          <w:lang w:val="nl-NL"/>
        </w:rPr>
        <w:t>6.3</w:t>
      </w:r>
      <w:r w:rsidRPr="00CD4E37">
        <w:rPr>
          <w:b/>
          <w:bCs/>
          <w:szCs w:val="22"/>
          <w:lang w:val="nl-NL"/>
        </w:rPr>
        <w:tab/>
        <w:t>Houdbaarheid</w:t>
      </w:r>
    </w:p>
    <w:p w14:paraId="29D1C099" w14:textId="77777777" w:rsidR="00285B13" w:rsidRPr="00CD4E37" w:rsidRDefault="00285B13" w:rsidP="00891282">
      <w:pPr>
        <w:keepNext/>
        <w:tabs>
          <w:tab w:val="clear" w:pos="567"/>
        </w:tabs>
        <w:spacing w:line="240" w:lineRule="auto"/>
        <w:rPr>
          <w:szCs w:val="22"/>
          <w:lang w:val="nl-NL"/>
        </w:rPr>
      </w:pPr>
    </w:p>
    <w:p w14:paraId="6ED680D3" w14:textId="77777777" w:rsidR="00285B13" w:rsidRPr="00CD4E37" w:rsidRDefault="00285B13" w:rsidP="00891282">
      <w:pPr>
        <w:tabs>
          <w:tab w:val="clear" w:pos="567"/>
        </w:tabs>
        <w:spacing w:line="240" w:lineRule="auto"/>
        <w:rPr>
          <w:szCs w:val="22"/>
          <w:lang w:val="nl-NL"/>
        </w:rPr>
      </w:pPr>
      <w:r w:rsidRPr="00CD4E37">
        <w:rPr>
          <w:szCs w:val="22"/>
          <w:lang w:val="nl-NL"/>
        </w:rPr>
        <w:t>3 jaar.</w:t>
      </w:r>
    </w:p>
    <w:p w14:paraId="3619174A" w14:textId="77777777" w:rsidR="00285B13" w:rsidRPr="00CD4E37" w:rsidRDefault="00285B13" w:rsidP="00891282">
      <w:pPr>
        <w:tabs>
          <w:tab w:val="clear" w:pos="567"/>
        </w:tabs>
        <w:spacing w:line="240" w:lineRule="auto"/>
        <w:rPr>
          <w:szCs w:val="22"/>
          <w:lang w:val="nl-NL"/>
        </w:rPr>
      </w:pPr>
    </w:p>
    <w:p w14:paraId="7B9F3670" w14:textId="77777777" w:rsidR="00285B13" w:rsidRPr="00CD4E37" w:rsidRDefault="00285B13" w:rsidP="00891282">
      <w:pPr>
        <w:keepNext/>
        <w:spacing w:line="240" w:lineRule="auto"/>
        <w:rPr>
          <w:b/>
          <w:szCs w:val="22"/>
          <w:lang w:val="nl-NL"/>
        </w:rPr>
      </w:pPr>
      <w:r w:rsidRPr="00CD4E37">
        <w:rPr>
          <w:b/>
          <w:bCs/>
          <w:szCs w:val="22"/>
          <w:lang w:val="nl-NL"/>
        </w:rPr>
        <w:t>6.4</w:t>
      </w:r>
      <w:r w:rsidRPr="00CD4E37">
        <w:rPr>
          <w:b/>
          <w:bCs/>
          <w:szCs w:val="22"/>
          <w:lang w:val="nl-NL"/>
        </w:rPr>
        <w:tab/>
        <w:t>Speciale voorzorgsmaatregelen bij bewaren</w:t>
      </w:r>
    </w:p>
    <w:p w14:paraId="25F86E9C" w14:textId="77777777" w:rsidR="00285B13" w:rsidRPr="00CD4E37" w:rsidRDefault="00285B13" w:rsidP="00891282">
      <w:pPr>
        <w:keepNext/>
        <w:tabs>
          <w:tab w:val="clear" w:pos="567"/>
        </w:tabs>
        <w:spacing w:line="240" w:lineRule="auto"/>
        <w:rPr>
          <w:lang w:val="nl-NL"/>
        </w:rPr>
      </w:pPr>
    </w:p>
    <w:p w14:paraId="46B81D54" w14:textId="77777777" w:rsidR="00285B13" w:rsidRPr="00CD4E37" w:rsidRDefault="00285B13" w:rsidP="00891282">
      <w:pPr>
        <w:tabs>
          <w:tab w:val="clear" w:pos="567"/>
        </w:tabs>
        <w:spacing w:line="240" w:lineRule="auto"/>
        <w:rPr>
          <w:szCs w:val="22"/>
          <w:lang w:val="nl-NL"/>
        </w:rPr>
      </w:pPr>
      <w:r w:rsidRPr="00CD4E37">
        <w:rPr>
          <w:szCs w:val="22"/>
          <w:lang w:val="nl-NL"/>
        </w:rPr>
        <w:t>Voor dit geneesmiddel zijn er geen speciale bewaarcondities.</w:t>
      </w:r>
    </w:p>
    <w:p w14:paraId="204A045F" w14:textId="77777777" w:rsidR="00285B13" w:rsidRPr="00CD4E37" w:rsidRDefault="00285B13" w:rsidP="00891282">
      <w:pPr>
        <w:tabs>
          <w:tab w:val="clear" w:pos="567"/>
        </w:tabs>
        <w:spacing w:line="240" w:lineRule="auto"/>
        <w:rPr>
          <w:szCs w:val="22"/>
          <w:lang w:val="nl-NL"/>
        </w:rPr>
      </w:pPr>
    </w:p>
    <w:p w14:paraId="529676B8" w14:textId="77777777" w:rsidR="00285B13" w:rsidRPr="00CD4E37" w:rsidRDefault="00285B13" w:rsidP="00891282">
      <w:pPr>
        <w:keepNext/>
        <w:spacing w:line="240" w:lineRule="auto"/>
        <w:rPr>
          <w:b/>
          <w:szCs w:val="22"/>
          <w:lang w:val="nl-NL"/>
        </w:rPr>
      </w:pPr>
      <w:r w:rsidRPr="00CD4E37">
        <w:rPr>
          <w:b/>
          <w:bCs/>
          <w:szCs w:val="22"/>
          <w:lang w:val="nl-NL"/>
        </w:rPr>
        <w:t>6.5</w:t>
      </w:r>
      <w:r w:rsidRPr="00CD4E37">
        <w:rPr>
          <w:b/>
          <w:bCs/>
          <w:szCs w:val="22"/>
          <w:lang w:val="nl-NL"/>
        </w:rPr>
        <w:tab/>
        <w:t>Aard en inhoud van de verpakking</w:t>
      </w:r>
    </w:p>
    <w:p w14:paraId="7155523F" w14:textId="77777777" w:rsidR="00285B13" w:rsidRPr="00CD4E37" w:rsidRDefault="00285B13" w:rsidP="00891282">
      <w:pPr>
        <w:keepNext/>
        <w:tabs>
          <w:tab w:val="clear" w:pos="567"/>
        </w:tabs>
        <w:spacing w:line="240" w:lineRule="auto"/>
        <w:rPr>
          <w:szCs w:val="22"/>
          <w:lang w:val="nl-NL"/>
        </w:rPr>
      </w:pPr>
    </w:p>
    <w:p w14:paraId="7141402E" w14:textId="77777777" w:rsidR="00285B13" w:rsidRPr="00CD4E37" w:rsidRDefault="00285B13" w:rsidP="00891282">
      <w:pPr>
        <w:tabs>
          <w:tab w:val="clear" w:pos="567"/>
        </w:tabs>
        <w:spacing w:line="240" w:lineRule="auto"/>
        <w:rPr>
          <w:szCs w:val="22"/>
          <w:lang w:val="nl-NL"/>
        </w:rPr>
      </w:pPr>
      <w:r w:rsidRPr="00CD4E37">
        <w:rPr>
          <w:szCs w:val="22"/>
          <w:lang w:val="nl-NL"/>
        </w:rPr>
        <w:t>Geperforeerde aluminium/aluminium eenheidsblisterverpakkingen.</w:t>
      </w:r>
    </w:p>
    <w:p w14:paraId="6F482A4E" w14:textId="77777777" w:rsidR="00285B13" w:rsidRPr="00CD4E37" w:rsidRDefault="00285B13" w:rsidP="00891282">
      <w:pPr>
        <w:tabs>
          <w:tab w:val="clear" w:pos="567"/>
        </w:tabs>
        <w:spacing w:line="240" w:lineRule="auto"/>
        <w:rPr>
          <w:szCs w:val="22"/>
          <w:lang w:val="nl-NL"/>
        </w:rPr>
      </w:pPr>
    </w:p>
    <w:p w14:paraId="3E8BED72" w14:textId="77777777" w:rsidR="00285B13" w:rsidRPr="00CD4E37" w:rsidRDefault="00285B13" w:rsidP="00BE5247">
      <w:pPr>
        <w:keepNext/>
        <w:tabs>
          <w:tab w:val="clear" w:pos="567"/>
        </w:tabs>
        <w:spacing w:line="240" w:lineRule="auto"/>
        <w:rPr>
          <w:szCs w:val="22"/>
          <w:u w:val="single"/>
          <w:lang w:val="nl-NL"/>
        </w:rPr>
      </w:pPr>
      <w:r w:rsidRPr="00CD4E37">
        <w:rPr>
          <w:szCs w:val="22"/>
          <w:u w:val="single"/>
          <w:lang w:val="nl-NL"/>
        </w:rPr>
        <w:t>VANFLYTA 17,7 mg filmomhulde tabletten</w:t>
      </w:r>
    </w:p>
    <w:p w14:paraId="01F85448" w14:textId="77777777" w:rsidR="00B7299F" w:rsidRPr="00CD4E37" w:rsidRDefault="00B7299F" w:rsidP="001C6ECA">
      <w:pPr>
        <w:keepNext/>
        <w:tabs>
          <w:tab w:val="clear" w:pos="567"/>
        </w:tabs>
        <w:spacing w:line="240" w:lineRule="auto"/>
        <w:rPr>
          <w:szCs w:val="22"/>
          <w:lang w:val="nl-NL"/>
        </w:rPr>
      </w:pPr>
    </w:p>
    <w:p w14:paraId="1920F2AD" w14:textId="640A80B4" w:rsidR="00285B13" w:rsidRPr="00CD4E37" w:rsidRDefault="00285B13" w:rsidP="00891282">
      <w:pPr>
        <w:tabs>
          <w:tab w:val="clear" w:pos="567"/>
        </w:tabs>
        <w:spacing w:line="240" w:lineRule="auto"/>
        <w:rPr>
          <w:szCs w:val="22"/>
          <w:lang w:val="nl-NL"/>
        </w:rPr>
      </w:pPr>
      <w:r w:rsidRPr="00CD4E37">
        <w:rPr>
          <w:szCs w:val="22"/>
          <w:lang w:val="nl-NL"/>
        </w:rPr>
        <w:t>Dozen met 14 x 1 of 28 x 1 filmomhulde tabletten.</w:t>
      </w:r>
    </w:p>
    <w:p w14:paraId="200A9C89" w14:textId="77777777" w:rsidR="00285B13" w:rsidRPr="00CD4E37" w:rsidRDefault="00285B13" w:rsidP="00891282">
      <w:pPr>
        <w:tabs>
          <w:tab w:val="clear" w:pos="567"/>
        </w:tabs>
        <w:spacing w:line="240" w:lineRule="auto"/>
        <w:rPr>
          <w:szCs w:val="22"/>
          <w:lang w:val="nl-NL"/>
        </w:rPr>
      </w:pPr>
    </w:p>
    <w:p w14:paraId="5223E466" w14:textId="77777777" w:rsidR="00285B13" w:rsidRPr="00CD4E37" w:rsidRDefault="00285B13" w:rsidP="00BE5247">
      <w:pPr>
        <w:keepNext/>
        <w:tabs>
          <w:tab w:val="clear" w:pos="567"/>
        </w:tabs>
        <w:spacing w:line="240" w:lineRule="auto"/>
        <w:rPr>
          <w:szCs w:val="22"/>
          <w:u w:val="single"/>
          <w:lang w:val="nl-NL"/>
        </w:rPr>
      </w:pPr>
      <w:r w:rsidRPr="00CD4E37">
        <w:rPr>
          <w:szCs w:val="22"/>
          <w:u w:val="single"/>
          <w:lang w:val="nl-NL"/>
        </w:rPr>
        <w:t>VANFLYTA 26,5 mg filmomhulde tabletten</w:t>
      </w:r>
    </w:p>
    <w:p w14:paraId="30D3C6E4" w14:textId="77777777" w:rsidR="00B7299F" w:rsidRPr="00CD4E37" w:rsidRDefault="00B7299F" w:rsidP="001C6ECA">
      <w:pPr>
        <w:keepNext/>
        <w:tabs>
          <w:tab w:val="clear" w:pos="567"/>
        </w:tabs>
        <w:spacing w:line="240" w:lineRule="auto"/>
        <w:rPr>
          <w:szCs w:val="22"/>
          <w:lang w:val="nl-NL"/>
        </w:rPr>
      </w:pPr>
    </w:p>
    <w:p w14:paraId="45FDF279" w14:textId="1C1D730F" w:rsidR="00285B13" w:rsidRPr="00CD4E37" w:rsidRDefault="00285B13" w:rsidP="00891282">
      <w:pPr>
        <w:tabs>
          <w:tab w:val="clear" w:pos="567"/>
        </w:tabs>
        <w:spacing w:line="240" w:lineRule="auto"/>
        <w:rPr>
          <w:szCs w:val="22"/>
          <w:lang w:val="nl-NL"/>
        </w:rPr>
      </w:pPr>
      <w:r w:rsidRPr="00CD4E37">
        <w:rPr>
          <w:szCs w:val="22"/>
          <w:lang w:val="nl-NL"/>
        </w:rPr>
        <w:t>Dozen met 14 x 1, 28 x 1 of 56 x 1 filmomhulde tabletten.</w:t>
      </w:r>
    </w:p>
    <w:p w14:paraId="3A4BE87F" w14:textId="77777777" w:rsidR="00285B13" w:rsidRPr="00CD4E37" w:rsidRDefault="00285B13" w:rsidP="00891282">
      <w:pPr>
        <w:tabs>
          <w:tab w:val="clear" w:pos="567"/>
        </w:tabs>
        <w:spacing w:line="240" w:lineRule="auto"/>
        <w:rPr>
          <w:szCs w:val="22"/>
          <w:lang w:val="nl-NL"/>
        </w:rPr>
      </w:pPr>
    </w:p>
    <w:p w14:paraId="0D231021" w14:textId="77777777" w:rsidR="00285B13" w:rsidRPr="00CD4E37" w:rsidRDefault="00285B13" w:rsidP="00891282">
      <w:pPr>
        <w:tabs>
          <w:tab w:val="clear" w:pos="567"/>
        </w:tabs>
        <w:spacing w:line="240" w:lineRule="auto"/>
        <w:rPr>
          <w:szCs w:val="22"/>
          <w:lang w:val="nl-NL"/>
        </w:rPr>
      </w:pPr>
      <w:r w:rsidRPr="00CD4E37">
        <w:rPr>
          <w:szCs w:val="22"/>
          <w:lang w:val="nl-NL"/>
        </w:rPr>
        <w:t>Niet alle genoemde verpakkingsgrootten worden in de handel gebracht.</w:t>
      </w:r>
    </w:p>
    <w:p w14:paraId="152E7A1D" w14:textId="77777777" w:rsidR="00285B13" w:rsidRPr="00CD4E37" w:rsidRDefault="00285B13" w:rsidP="00891282">
      <w:pPr>
        <w:tabs>
          <w:tab w:val="clear" w:pos="567"/>
        </w:tabs>
        <w:spacing w:line="240" w:lineRule="auto"/>
        <w:rPr>
          <w:szCs w:val="22"/>
          <w:lang w:val="nl-NL"/>
        </w:rPr>
      </w:pPr>
    </w:p>
    <w:p w14:paraId="330F5FE3" w14:textId="77777777" w:rsidR="00285B13" w:rsidRPr="00CD4E37" w:rsidRDefault="00285B13" w:rsidP="00891282">
      <w:pPr>
        <w:keepNext/>
        <w:spacing w:line="240" w:lineRule="auto"/>
        <w:rPr>
          <w:b/>
          <w:szCs w:val="22"/>
          <w:lang w:val="nl-NL"/>
        </w:rPr>
      </w:pPr>
      <w:bookmarkStart w:id="45" w:name="OLE_LINK1"/>
      <w:r w:rsidRPr="00CD4E37">
        <w:rPr>
          <w:b/>
          <w:bCs/>
          <w:szCs w:val="22"/>
          <w:lang w:val="nl-NL"/>
        </w:rPr>
        <w:t>6.6</w:t>
      </w:r>
      <w:r w:rsidRPr="00CD4E37">
        <w:rPr>
          <w:b/>
          <w:bCs/>
          <w:szCs w:val="22"/>
          <w:lang w:val="nl-NL"/>
        </w:rPr>
        <w:tab/>
        <w:t>Speciale voorzorgsmaatregelen voor het verwijderen</w:t>
      </w:r>
    </w:p>
    <w:p w14:paraId="6FDE4787" w14:textId="77777777" w:rsidR="00285B13" w:rsidRPr="00CD4E37" w:rsidRDefault="00285B13" w:rsidP="00891282">
      <w:pPr>
        <w:keepNext/>
        <w:tabs>
          <w:tab w:val="clear" w:pos="567"/>
        </w:tabs>
        <w:spacing w:line="240" w:lineRule="auto"/>
        <w:rPr>
          <w:szCs w:val="22"/>
          <w:lang w:val="nl-NL"/>
        </w:rPr>
      </w:pPr>
    </w:p>
    <w:bookmarkEnd w:id="45"/>
    <w:p w14:paraId="3D6AEB7F" w14:textId="77777777" w:rsidR="00285B13" w:rsidRPr="00CD4E37" w:rsidRDefault="00285B13" w:rsidP="00891282">
      <w:pPr>
        <w:tabs>
          <w:tab w:val="clear" w:pos="567"/>
        </w:tabs>
        <w:spacing w:line="240" w:lineRule="auto"/>
        <w:rPr>
          <w:szCs w:val="22"/>
          <w:lang w:val="nl-NL"/>
        </w:rPr>
      </w:pPr>
      <w:r w:rsidRPr="00CD4E37">
        <w:rPr>
          <w:szCs w:val="22"/>
          <w:lang w:val="nl-NL"/>
        </w:rPr>
        <w:t>Al het ongebruikte geneesmiddel of afvalmateriaal dient te worden vernietigd overeenkomstig lokale voorschriften.</w:t>
      </w:r>
    </w:p>
    <w:p w14:paraId="49D93EE1" w14:textId="77777777" w:rsidR="00285B13" w:rsidRPr="00CD4E37" w:rsidRDefault="00285B13" w:rsidP="00891282">
      <w:pPr>
        <w:tabs>
          <w:tab w:val="clear" w:pos="567"/>
        </w:tabs>
        <w:spacing w:line="240" w:lineRule="auto"/>
        <w:rPr>
          <w:szCs w:val="22"/>
          <w:lang w:val="nl-NL"/>
        </w:rPr>
      </w:pPr>
    </w:p>
    <w:p w14:paraId="2E4E0C1D" w14:textId="77777777" w:rsidR="00285B13" w:rsidRPr="00CD4E37" w:rsidRDefault="00285B13" w:rsidP="00891282">
      <w:pPr>
        <w:tabs>
          <w:tab w:val="clear" w:pos="567"/>
        </w:tabs>
        <w:spacing w:line="240" w:lineRule="auto"/>
        <w:rPr>
          <w:szCs w:val="22"/>
          <w:lang w:val="nl-NL"/>
        </w:rPr>
      </w:pPr>
    </w:p>
    <w:p w14:paraId="03338E3A" w14:textId="77777777" w:rsidR="00285B13" w:rsidRPr="00CD4E37" w:rsidRDefault="00285B13" w:rsidP="00891282">
      <w:pPr>
        <w:keepNext/>
        <w:spacing w:line="240" w:lineRule="auto"/>
        <w:ind w:left="567" w:hanging="567"/>
        <w:rPr>
          <w:szCs w:val="22"/>
          <w:lang w:val="nl-NL"/>
        </w:rPr>
      </w:pPr>
      <w:r w:rsidRPr="00CD4E37">
        <w:rPr>
          <w:b/>
          <w:bCs/>
          <w:szCs w:val="22"/>
          <w:lang w:val="nl-NL"/>
        </w:rPr>
        <w:t>7.</w:t>
      </w:r>
      <w:r w:rsidRPr="00CD4E37">
        <w:rPr>
          <w:b/>
          <w:bCs/>
          <w:szCs w:val="22"/>
          <w:lang w:val="nl-NL"/>
        </w:rPr>
        <w:tab/>
        <w:t>HOUDER VAN DE VERGUNNING VOOR HET IN DE HANDEL BRENGEN</w:t>
      </w:r>
    </w:p>
    <w:p w14:paraId="6BE40ACE" w14:textId="77777777" w:rsidR="00285B13" w:rsidRPr="00CD4E37" w:rsidRDefault="00285B13" w:rsidP="00891282">
      <w:pPr>
        <w:keepNext/>
        <w:tabs>
          <w:tab w:val="clear" w:pos="567"/>
        </w:tabs>
        <w:spacing w:line="240" w:lineRule="auto"/>
        <w:rPr>
          <w:szCs w:val="22"/>
          <w:lang w:val="nl-NL"/>
        </w:rPr>
      </w:pPr>
    </w:p>
    <w:p w14:paraId="267F6279" w14:textId="77777777" w:rsidR="00285B13" w:rsidRPr="00796904" w:rsidRDefault="00285B13" w:rsidP="00543664">
      <w:pPr>
        <w:keepNext/>
        <w:tabs>
          <w:tab w:val="clear" w:pos="567"/>
        </w:tabs>
        <w:spacing w:line="240" w:lineRule="auto"/>
        <w:rPr>
          <w:lang w:val="de-DE"/>
        </w:rPr>
      </w:pPr>
      <w:r w:rsidRPr="00796904">
        <w:rPr>
          <w:lang w:val="de-DE"/>
        </w:rPr>
        <w:t>Daiichi Sankyo Europe GmbH</w:t>
      </w:r>
    </w:p>
    <w:p w14:paraId="7FF17A12" w14:textId="77777777" w:rsidR="00285B13" w:rsidRPr="00796904" w:rsidRDefault="00285B13" w:rsidP="00543664">
      <w:pPr>
        <w:keepNext/>
        <w:tabs>
          <w:tab w:val="clear" w:pos="567"/>
        </w:tabs>
        <w:spacing w:line="240" w:lineRule="auto"/>
        <w:rPr>
          <w:lang w:val="de-DE"/>
        </w:rPr>
      </w:pPr>
      <w:r w:rsidRPr="00796904">
        <w:rPr>
          <w:lang w:val="de-DE"/>
        </w:rPr>
        <w:t>Zielstattstrasse 48</w:t>
      </w:r>
    </w:p>
    <w:p w14:paraId="6DE4F4A1" w14:textId="77777777" w:rsidR="00285B13" w:rsidRPr="00796904" w:rsidRDefault="00285B13" w:rsidP="00543664">
      <w:pPr>
        <w:keepNext/>
        <w:tabs>
          <w:tab w:val="clear" w:pos="567"/>
        </w:tabs>
        <w:spacing w:line="240" w:lineRule="auto"/>
        <w:rPr>
          <w:lang w:val="de-DE"/>
        </w:rPr>
      </w:pPr>
      <w:r w:rsidRPr="00796904">
        <w:rPr>
          <w:lang w:val="de-DE"/>
        </w:rPr>
        <w:t>81379 München</w:t>
      </w:r>
    </w:p>
    <w:p w14:paraId="0389BA81" w14:textId="77777777" w:rsidR="00285B13" w:rsidRPr="00CD4E37" w:rsidRDefault="00285B13" w:rsidP="00891282">
      <w:pPr>
        <w:tabs>
          <w:tab w:val="clear" w:pos="567"/>
        </w:tabs>
        <w:spacing w:line="240" w:lineRule="auto"/>
        <w:rPr>
          <w:szCs w:val="22"/>
          <w:lang w:val="nl-NL"/>
        </w:rPr>
      </w:pPr>
      <w:r w:rsidRPr="00CD4E37">
        <w:rPr>
          <w:szCs w:val="22"/>
          <w:lang w:val="nl-NL"/>
        </w:rPr>
        <w:t>Duitsland</w:t>
      </w:r>
    </w:p>
    <w:p w14:paraId="55C49DA3" w14:textId="77777777" w:rsidR="00285B13" w:rsidRPr="00CD4E37" w:rsidRDefault="00285B13" w:rsidP="00891282">
      <w:pPr>
        <w:tabs>
          <w:tab w:val="clear" w:pos="567"/>
        </w:tabs>
        <w:spacing w:line="240" w:lineRule="auto"/>
        <w:rPr>
          <w:szCs w:val="22"/>
          <w:lang w:val="nl-NL"/>
        </w:rPr>
      </w:pPr>
    </w:p>
    <w:p w14:paraId="72E04796" w14:textId="77777777" w:rsidR="00285B13" w:rsidRPr="00CD4E37" w:rsidRDefault="00285B13" w:rsidP="00891282">
      <w:pPr>
        <w:tabs>
          <w:tab w:val="clear" w:pos="567"/>
        </w:tabs>
        <w:spacing w:line="240" w:lineRule="auto"/>
        <w:rPr>
          <w:szCs w:val="22"/>
          <w:lang w:val="nl-NL"/>
        </w:rPr>
      </w:pPr>
    </w:p>
    <w:p w14:paraId="21272960" w14:textId="77777777" w:rsidR="00285B13" w:rsidRPr="00CD4E37" w:rsidRDefault="00285B13" w:rsidP="00BE5247">
      <w:pPr>
        <w:keepNext/>
        <w:spacing w:line="240" w:lineRule="auto"/>
        <w:ind w:left="567" w:hanging="567"/>
        <w:rPr>
          <w:b/>
          <w:szCs w:val="22"/>
          <w:lang w:val="nl-NL"/>
        </w:rPr>
      </w:pPr>
      <w:r w:rsidRPr="00CD4E37">
        <w:rPr>
          <w:b/>
          <w:bCs/>
          <w:szCs w:val="22"/>
          <w:lang w:val="nl-NL"/>
        </w:rPr>
        <w:t>8.</w:t>
      </w:r>
      <w:r w:rsidRPr="00CD4E37">
        <w:rPr>
          <w:b/>
          <w:bCs/>
          <w:szCs w:val="22"/>
          <w:lang w:val="nl-NL"/>
        </w:rPr>
        <w:tab/>
        <w:t xml:space="preserve">NUMMERS VAN DE VERGUNNING VOOR HET IN DE HANDEL BRENGEN </w:t>
      </w:r>
    </w:p>
    <w:p w14:paraId="766B004B" w14:textId="77777777" w:rsidR="00285B13" w:rsidRPr="00CD4E37" w:rsidRDefault="00285B13" w:rsidP="00BE5247">
      <w:pPr>
        <w:keepNext/>
        <w:tabs>
          <w:tab w:val="clear" w:pos="567"/>
        </w:tabs>
        <w:spacing w:line="240" w:lineRule="auto"/>
        <w:rPr>
          <w:szCs w:val="22"/>
          <w:lang w:val="nl-NL"/>
        </w:rPr>
      </w:pPr>
    </w:p>
    <w:p w14:paraId="207401C0" w14:textId="75BE5CD5" w:rsidR="00710F66" w:rsidRPr="00CD4E37" w:rsidRDefault="00710F66" w:rsidP="00A31C91">
      <w:pPr>
        <w:tabs>
          <w:tab w:val="clear" w:pos="567"/>
        </w:tabs>
        <w:spacing w:line="240" w:lineRule="auto"/>
        <w:rPr>
          <w:szCs w:val="22"/>
          <w:lang w:val="nl-NL"/>
        </w:rPr>
      </w:pPr>
      <w:r w:rsidRPr="00CD4E37">
        <w:rPr>
          <w:szCs w:val="22"/>
          <w:lang w:val="nl-NL"/>
        </w:rPr>
        <w:t>EU/1/23/1768/001-005</w:t>
      </w:r>
    </w:p>
    <w:p w14:paraId="01F734D6" w14:textId="77777777" w:rsidR="00285B13" w:rsidRPr="00CD4E37" w:rsidRDefault="00285B13" w:rsidP="00891282">
      <w:pPr>
        <w:tabs>
          <w:tab w:val="clear" w:pos="567"/>
        </w:tabs>
        <w:spacing w:line="240" w:lineRule="auto"/>
        <w:rPr>
          <w:szCs w:val="22"/>
          <w:lang w:val="nl-NL"/>
        </w:rPr>
      </w:pPr>
    </w:p>
    <w:p w14:paraId="0F88FD6A" w14:textId="77777777" w:rsidR="00E671DB" w:rsidRPr="00CD4E37" w:rsidRDefault="00E671DB" w:rsidP="00891282">
      <w:pPr>
        <w:tabs>
          <w:tab w:val="clear" w:pos="567"/>
        </w:tabs>
        <w:spacing w:line="240" w:lineRule="auto"/>
        <w:rPr>
          <w:szCs w:val="22"/>
          <w:lang w:val="nl-NL"/>
        </w:rPr>
      </w:pPr>
    </w:p>
    <w:p w14:paraId="03B2A553" w14:textId="77777777" w:rsidR="00285B13" w:rsidRDefault="00285B13" w:rsidP="00891282">
      <w:pPr>
        <w:keepNext/>
        <w:spacing w:line="240" w:lineRule="auto"/>
        <w:ind w:left="567" w:hanging="567"/>
        <w:rPr>
          <w:b/>
          <w:bCs/>
          <w:szCs w:val="22"/>
          <w:lang w:val="nl-NL"/>
        </w:rPr>
      </w:pPr>
      <w:r w:rsidRPr="00CD4E37">
        <w:rPr>
          <w:b/>
          <w:bCs/>
          <w:szCs w:val="22"/>
          <w:lang w:val="nl-NL"/>
        </w:rPr>
        <w:t>9.</w:t>
      </w:r>
      <w:r w:rsidRPr="00CD4E37">
        <w:rPr>
          <w:b/>
          <w:bCs/>
          <w:szCs w:val="22"/>
          <w:lang w:val="nl-NL"/>
        </w:rPr>
        <w:tab/>
        <w:t>DATUM VAN EERSTE VERLENING VAN DE VERGUNNING/VERLENGING VAN DE VERGUNNING</w:t>
      </w:r>
    </w:p>
    <w:p w14:paraId="5B3ED085" w14:textId="77777777" w:rsidR="003F684B" w:rsidRDefault="003F684B" w:rsidP="00891282">
      <w:pPr>
        <w:keepNext/>
        <w:spacing w:line="240" w:lineRule="auto"/>
        <w:ind w:left="567" w:hanging="567"/>
        <w:rPr>
          <w:b/>
          <w:bCs/>
          <w:szCs w:val="22"/>
          <w:lang w:val="nl-NL"/>
        </w:rPr>
      </w:pPr>
    </w:p>
    <w:p w14:paraId="16845686" w14:textId="77777777" w:rsidR="00285B13" w:rsidRPr="00CD4E37" w:rsidRDefault="00285B13" w:rsidP="00891282">
      <w:pPr>
        <w:tabs>
          <w:tab w:val="clear" w:pos="567"/>
        </w:tabs>
        <w:spacing w:line="240" w:lineRule="auto"/>
        <w:rPr>
          <w:szCs w:val="22"/>
          <w:lang w:val="nl-NL"/>
        </w:rPr>
      </w:pPr>
    </w:p>
    <w:p w14:paraId="6DF81B95" w14:textId="77777777" w:rsidR="00285B13" w:rsidRPr="00CD4E37" w:rsidRDefault="00285B13" w:rsidP="00891282">
      <w:pPr>
        <w:keepNext/>
        <w:spacing w:line="240" w:lineRule="auto"/>
        <w:ind w:left="567" w:hanging="567"/>
        <w:rPr>
          <w:b/>
          <w:szCs w:val="22"/>
          <w:lang w:val="nl-NL"/>
        </w:rPr>
      </w:pPr>
      <w:r w:rsidRPr="00CD4E37">
        <w:rPr>
          <w:b/>
          <w:bCs/>
          <w:szCs w:val="22"/>
          <w:lang w:val="nl-NL"/>
        </w:rPr>
        <w:t>10.</w:t>
      </w:r>
      <w:r w:rsidRPr="00CD4E37">
        <w:rPr>
          <w:b/>
          <w:bCs/>
          <w:szCs w:val="22"/>
          <w:lang w:val="nl-NL"/>
        </w:rPr>
        <w:tab/>
        <w:t>DATUM VAN HERZIENING VAN DE TEKST</w:t>
      </w:r>
    </w:p>
    <w:p w14:paraId="62471937" w14:textId="77777777" w:rsidR="00285B13" w:rsidRDefault="00285B13" w:rsidP="00891282">
      <w:pPr>
        <w:keepNext/>
        <w:tabs>
          <w:tab w:val="clear" w:pos="567"/>
        </w:tabs>
        <w:spacing w:line="240" w:lineRule="auto"/>
        <w:rPr>
          <w:szCs w:val="22"/>
          <w:lang w:val="nl-NL"/>
        </w:rPr>
      </w:pPr>
    </w:p>
    <w:p w14:paraId="01BCD0FA" w14:textId="16152957" w:rsidR="009C764A" w:rsidRDefault="009C764A" w:rsidP="00891282">
      <w:pPr>
        <w:keepNext/>
        <w:tabs>
          <w:tab w:val="clear" w:pos="567"/>
        </w:tabs>
        <w:spacing w:line="240" w:lineRule="auto"/>
        <w:rPr>
          <w:szCs w:val="22"/>
          <w:lang w:val="nl-NL"/>
        </w:rPr>
      </w:pPr>
      <w:r>
        <w:rPr>
          <w:szCs w:val="22"/>
          <w:lang w:val="nl-NL"/>
        </w:rPr>
        <w:t>11/2023</w:t>
      </w:r>
    </w:p>
    <w:p w14:paraId="62EF352D" w14:textId="77777777" w:rsidR="009C764A" w:rsidRPr="00CD4E37" w:rsidRDefault="009C764A" w:rsidP="00891282">
      <w:pPr>
        <w:keepNext/>
        <w:tabs>
          <w:tab w:val="clear" w:pos="567"/>
        </w:tabs>
        <w:spacing w:line="240" w:lineRule="auto"/>
        <w:rPr>
          <w:szCs w:val="22"/>
          <w:lang w:val="nl-NL"/>
        </w:rPr>
      </w:pPr>
    </w:p>
    <w:p w14:paraId="5C9F3702" w14:textId="6C000875" w:rsidR="00285B13" w:rsidRPr="00CD4E37" w:rsidRDefault="00285B13" w:rsidP="00891282">
      <w:pPr>
        <w:numPr>
          <w:ilvl w:val="12"/>
          <w:numId w:val="0"/>
        </w:numPr>
        <w:tabs>
          <w:tab w:val="clear" w:pos="567"/>
        </w:tabs>
        <w:spacing w:line="240" w:lineRule="auto"/>
        <w:rPr>
          <w:szCs w:val="22"/>
          <w:lang w:val="nl-NL"/>
        </w:rPr>
      </w:pPr>
      <w:r w:rsidRPr="00CD4E37">
        <w:rPr>
          <w:lang w:val="nl-NL"/>
        </w:rPr>
        <w:t xml:space="preserve">Gedetailleerde informatie over dit geneesmiddel is beschikbaar op de website van het Europees Geneesmiddelenbureau </w:t>
      </w:r>
      <w:hyperlink r:id="rId14" w:history="1">
        <w:r w:rsidRPr="00CD4E37">
          <w:rPr>
            <w:rStyle w:val="Hyperlink"/>
            <w:szCs w:val="22"/>
            <w:lang w:val="nl-NL"/>
          </w:rPr>
          <w:t>http://www.ema.europa.eu</w:t>
        </w:r>
      </w:hyperlink>
      <w:r w:rsidRPr="00CD4E37">
        <w:rPr>
          <w:szCs w:val="22"/>
          <w:lang w:val="nl-NL"/>
        </w:rPr>
        <w:t>.</w:t>
      </w:r>
    </w:p>
    <w:p w14:paraId="630E345F" w14:textId="608BCCE4" w:rsidR="00285B13" w:rsidRPr="00CD4E37" w:rsidRDefault="00285B13" w:rsidP="00891282">
      <w:pPr>
        <w:tabs>
          <w:tab w:val="clear" w:pos="567"/>
        </w:tabs>
        <w:spacing w:line="240" w:lineRule="auto"/>
        <w:rPr>
          <w:lang w:val="nl-NL"/>
        </w:rPr>
      </w:pPr>
    </w:p>
    <w:sectPr w:rsidR="00285B13" w:rsidRPr="00CD4E37" w:rsidSect="00061717">
      <w:footerReference w:type="default" r:id="rId15"/>
      <w:footerReference w:type="first" r:id="rId16"/>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7D2D" w14:textId="77777777" w:rsidR="00D65E3B" w:rsidRDefault="00D65E3B">
      <w:r>
        <w:separator/>
      </w:r>
    </w:p>
  </w:endnote>
  <w:endnote w:type="continuationSeparator" w:id="0">
    <w:p w14:paraId="7B71F63D" w14:textId="77777777" w:rsidR="00D65E3B" w:rsidRDefault="00D65E3B">
      <w:r>
        <w:continuationSeparator/>
      </w:r>
    </w:p>
  </w:endnote>
  <w:endnote w:type="continuationNotice" w:id="1">
    <w:p w14:paraId="51E41A92" w14:textId="77777777" w:rsidR="00D65E3B" w:rsidRDefault="00D65E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4A69" w14:textId="77777777" w:rsidR="00EC01AF" w:rsidRPr="001F27A3" w:rsidRDefault="006A4E72" w:rsidP="001F27A3">
    <w:pPr>
      <w:pStyle w:val="Voettekst"/>
      <w:jc w:val="center"/>
      <w:rPr>
        <w:rStyle w:val="Paginanummer"/>
        <w:rFonts w:cs="Arial"/>
      </w:rPr>
    </w:pPr>
    <w:r>
      <w:rPr>
        <w:lang w:val="nl"/>
      </w:rPr>
      <w:fldChar w:fldCharType="begin"/>
    </w:r>
    <w:r>
      <w:rPr>
        <w:lang w:val="nl"/>
      </w:rPr>
      <w:instrText xml:space="preserve"> EQ </w:instrText>
    </w:r>
    <w:r>
      <w:rPr>
        <w:lang w:val="nl"/>
      </w:rPr>
      <w:fldChar w:fldCharType="end"/>
    </w:r>
    <w:r>
      <w:rPr>
        <w:rStyle w:val="Paginanummer"/>
        <w:rFonts w:cs="Arial"/>
        <w:lang w:val="nl"/>
      </w:rPr>
      <w:fldChar w:fldCharType="begin"/>
    </w:r>
    <w:r>
      <w:rPr>
        <w:rStyle w:val="Paginanummer"/>
        <w:rFonts w:cs="Arial"/>
        <w:lang w:val="nl"/>
      </w:rPr>
      <w:instrText xml:space="preserve">PAGE  </w:instrText>
    </w:r>
    <w:r>
      <w:rPr>
        <w:rStyle w:val="Paginanummer"/>
        <w:rFonts w:cs="Arial"/>
        <w:lang w:val="nl"/>
      </w:rPr>
      <w:fldChar w:fldCharType="separate"/>
    </w:r>
    <w:r>
      <w:rPr>
        <w:rStyle w:val="Paginanummer"/>
        <w:rFonts w:cs="Arial"/>
        <w:lang w:val="nl"/>
      </w:rPr>
      <w:t>2</w:t>
    </w:r>
    <w:r>
      <w:rPr>
        <w:rStyle w:val="Paginanummer"/>
        <w:rFonts w:cs="Arial"/>
        <w:lang w:va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84A7" w14:textId="794695BA" w:rsidR="001F27A3" w:rsidRDefault="006A4E72" w:rsidP="001F27A3">
    <w:pPr>
      <w:pStyle w:val="Voettekst"/>
      <w:tabs>
        <w:tab w:val="right" w:pos="8931"/>
      </w:tabs>
      <w:ind w:right="96"/>
      <w:jc w:val="center"/>
    </w:pPr>
    <w:r>
      <w:rPr>
        <w:lang w:val="nl"/>
      </w:rPr>
      <w:fldChar w:fldCharType="begin"/>
    </w:r>
    <w:r>
      <w:rPr>
        <w:lang w:val="nl"/>
      </w:rPr>
      <w:instrText xml:space="preserve"> EQ </w:instrText>
    </w:r>
    <w:r>
      <w:rPr>
        <w:lang w:val="nl"/>
      </w:rPr>
      <w:fldChar w:fldCharType="end"/>
    </w:r>
    <w:r>
      <w:rPr>
        <w:rStyle w:val="Paginanummer"/>
        <w:rFonts w:cs="Arial"/>
        <w:lang w:val="nl"/>
      </w:rPr>
      <w:fldChar w:fldCharType="begin"/>
    </w:r>
    <w:r>
      <w:rPr>
        <w:rStyle w:val="Paginanummer"/>
        <w:rFonts w:cs="Arial"/>
        <w:lang w:val="nl"/>
      </w:rPr>
      <w:instrText xml:space="preserve">PAGE  </w:instrText>
    </w:r>
    <w:r>
      <w:rPr>
        <w:rStyle w:val="Paginanummer"/>
        <w:rFonts w:cs="Arial"/>
        <w:lang w:val="nl"/>
      </w:rPr>
      <w:fldChar w:fldCharType="separate"/>
    </w:r>
    <w:r>
      <w:rPr>
        <w:rStyle w:val="Paginanummer"/>
        <w:rFonts w:cs="Arial"/>
        <w:lang w:val="nl"/>
      </w:rPr>
      <w:t>1</w:t>
    </w:r>
    <w:r>
      <w:rPr>
        <w:rStyle w:val="Paginanummer"/>
        <w:rFonts w:cs="Arial"/>
        <w:lang w:va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0794" w14:textId="77777777" w:rsidR="00D65E3B" w:rsidRDefault="00D65E3B">
      <w:r>
        <w:separator/>
      </w:r>
    </w:p>
  </w:footnote>
  <w:footnote w:type="continuationSeparator" w:id="0">
    <w:p w14:paraId="5397541D" w14:textId="77777777" w:rsidR="00D65E3B" w:rsidRDefault="00D65E3B">
      <w:r>
        <w:continuationSeparator/>
      </w:r>
    </w:p>
  </w:footnote>
  <w:footnote w:type="continuationNotice" w:id="1">
    <w:p w14:paraId="04B53163" w14:textId="77777777" w:rsidR="00D65E3B" w:rsidRDefault="00D65E3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C25"/>
    <w:multiLevelType w:val="hybridMultilevel"/>
    <w:tmpl w:val="2F623A50"/>
    <w:lvl w:ilvl="0" w:tplc="36E8C216">
      <w:start w:val="1"/>
      <w:numFmt w:val="lowerLetter"/>
      <w:lvlText w:val="%1)"/>
      <w:lvlJc w:val="left"/>
      <w:pPr>
        <w:ind w:left="1440" w:hanging="360"/>
      </w:pPr>
    </w:lvl>
    <w:lvl w:ilvl="1" w:tplc="3B98BE82">
      <w:start w:val="1"/>
      <w:numFmt w:val="lowerLetter"/>
      <w:lvlText w:val="%2."/>
      <w:lvlJc w:val="left"/>
      <w:pPr>
        <w:ind w:left="720" w:hanging="363"/>
      </w:pPr>
      <w:rPr>
        <w:rFonts w:hint="default"/>
      </w:rPr>
    </w:lvl>
    <w:lvl w:ilvl="2" w:tplc="F0C8ECA6">
      <w:start w:val="1"/>
      <w:numFmt w:val="lowerRoman"/>
      <w:lvlText w:val="%3."/>
      <w:lvlJc w:val="right"/>
      <w:pPr>
        <w:ind w:left="2880" w:hanging="180"/>
      </w:pPr>
    </w:lvl>
    <w:lvl w:ilvl="3" w:tplc="24FA0C02" w:tentative="1">
      <w:start w:val="1"/>
      <w:numFmt w:val="decimal"/>
      <w:lvlText w:val="%4."/>
      <w:lvlJc w:val="left"/>
      <w:pPr>
        <w:ind w:left="3600" w:hanging="360"/>
      </w:pPr>
    </w:lvl>
    <w:lvl w:ilvl="4" w:tplc="E8C20B34" w:tentative="1">
      <w:start w:val="1"/>
      <w:numFmt w:val="lowerLetter"/>
      <w:lvlText w:val="%5."/>
      <w:lvlJc w:val="left"/>
      <w:pPr>
        <w:ind w:left="4320" w:hanging="360"/>
      </w:pPr>
    </w:lvl>
    <w:lvl w:ilvl="5" w:tplc="25860C0E" w:tentative="1">
      <w:start w:val="1"/>
      <w:numFmt w:val="lowerRoman"/>
      <w:lvlText w:val="%6."/>
      <w:lvlJc w:val="right"/>
      <w:pPr>
        <w:ind w:left="5040" w:hanging="180"/>
      </w:pPr>
    </w:lvl>
    <w:lvl w:ilvl="6" w:tplc="B4D0328E" w:tentative="1">
      <w:start w:val="1"/>
      <w:numFmt w:val="decimal"/>
      <w:lvlText w:val="%7."/>
      <w:lvlJc w:val="left"/>
      <w:pPr>
        <w:ind w:left="5760" w:hanging="360"/>
      </w:pPr>
    </w:lvl>
    <w:lvl w:ilvl="7" w:tplc="CD0CD968" w:tentative="1">
      <w:start w:val="1"/>
      <w:numFmt w:val="lowerLetter"/>
      <w:lvlText w:val="%8."/>
      <w:lvlJc w:val="left"/>
      <w:pPr>
        <w:ind w:left="6480" w:hanging="360"/>
      </w:pPr>
    </w:lvl>
    <w:lvl w:ilvl="8" w:tplc="03D67EEC" w:tentative="1">
      <w:start w:val="1"/>
      <w:numFmt w:val="lowerRoman"/>
      <w:lvlText w:val="%9."/>
      <w:lvlJc w:val="right"/>
      <w:pPr>
        <w:ind w:left="7200" w:hanging="180"/>
      </w:pPr>
    </w:lvl>
  </w:abstractNum>
  <w:abstractNum w:abstractNumId="1" w15:restartNumberingAfterBreak="0">
    <w:nsid w:val="019432DE"/>
    <w:multiLevelType w:val="hybridMultilevel"/>
    <w:tmpl w:val="D5744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4207B"/>
    <w:multiLevelType w:val="hybridMultilevel"/>
    <w:tmpl w:val="9B0E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2068A"/>
    <w:multiLevelType w:val="hybridMultilevel"/>
    <w:tmpl w:val="0CEE77C6"/>
    <w:lvl w:ilvl="0" w:tplc="3BB28AEC">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44CC1"/>
    <w:multiLevelType w:val="hybridMultilevel"/>
    <w:tmpl w:val="84BCAE72"/>
    <w:lvl w:ilvl="0" w:tplc="9F7AA4DA">
      <w:start w:val="1"/>
      <w:numFmt w:val="bullet"/>
      <w:lvlText w:val=""/>
      <w:lvlJc w:val="left"/>
      <w:pPr>
        <w:tabs>
          <w:tab w:val="num" w:pos="720"/>
        </w:tabs>
        <w:ind w:left="72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A48BD"/>
    <w:multiLevelType w:val="hybridMultilevel"/>
    <w:tmpl w:val="632AC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8A218F"/>
    <w:multiLevelType w:val="hybridMultilevel"/>
    <w:tmpl w:val="C318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A7C33"/>
    <w:multiLevelType w:val="hybridMultilevel"/>
    <w:tmpl w:val="C592124C"/>
    <w:lvl w:ilvl="0" w:tplc="04090001">
      <w:start w:val="1"/>
      <w:numFmt w:val="bullet"/>
      <w:lvlText w:val=""/>
      <w:lvlJc w:val="left"/>
      <w:pPr>
        <w:ind w:left="364" w:hanging="360"/>
      </w:pPr>
      <w:rPr>
        <w:rFonts w:ascii="Symbol" w:hAnsi="Symbol" w:hint="default"/>
      </w:rPr>
    </w:lvl>
    <w:lvl w:ilvl="1" w:tplc="04090003">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8" w15:restartNumberingAfterBreak="0">
    <w:nsid w:val="182D3EEA"/>
    <w:multiLevelType w:val="hybridMultilevel"/>
    <w:tmpl w:val="CE9CBCEC"/>
    <w:lvl w:ilvl="0" w:tplc="9F7AA4DA">
      <w:start w:val="1"/>
      <w:numFmt w:val="bullet"/>
      <w:lvlText w:val=""/>
      <w:lvlJc w:val="left"/>
      <w:pPr>
        <w:tabs>
          <w:tab w:val="num" w:pos="718"/>
        </w:tabs>
        <w:ind w:left="718" w:hanging="360"/>
      </w:pPr>
      <w:rPr>
        <w:rFonts w:ascii="Symbol" w:hAnsi="Symbol" w:hint="default"/>
        <w:sz w:val="22"/>
        <w:szCs w:val="22"/>
      </w:rPr>
    </w:lvl>
    <w:lvl w:ilvl="1" w:tplc="FFFFFFFF">
      <w:start w:val="1"/>
      <w:numFmt w:val="bullet"/>
      <w:lvlText w:val="o"/>
      <w:lvlJc w:val="left"/>
      <w:pPr>
        <w:tabs>
          <w:tab w:val="num" w:pos="1438"/>
        </w:tabs>
        <w:ind w:left="1438" w:hanging="360"/>
      </w:pPr>
      <w:rPr>
        <w:rFonts w:ascii="Courier New" w:hAnsi="Courier New" w:cs="Courier New" w:hint="default"/>
      </w:rPr>
    </w:lvl>
    <w:lvl w:ilvl="2" w:tplc="FFFFFFFF" w:tentative="1">
      <w:start w:val="1"/>
      <w:numFmt w:val="bullet"/>
      <w:lvlText w:val=""/>
      <w:lvlJc w:val="left"/>
      <w:pPr>
        <w:tabs>
          <w:tab w:val="num" w:pos="2158"/>
        </w:tabs>
        <w:ind w:left="2158" w:hanging="360"/>
      </w:pPr>
      <w:rPr>
        <w:rFonts w:ascii="Wingdings" w:hAnsi="Wingdings" w:hint="default"/>
      </w:rPr>
    </w:lvl>
    <w:lvl w:ilvl="3" w:tplc="FFFFFFFF" w:tentative="1">
      <w:start w:val="1"/>
      <w:numFmt w:val="bullet"/>
      <w:lvlText w:val=""/>
      <w:lvlJc w:val="left"/>
      <w:pPr>
        <w:tabs>
          <w:tab w:val="num" w:pos="2878"/>
        </w:tabs>
        <w:ind w:left="2878" w:hanging="360"/>
      </w:pPr>
      <w:rPr>
        <w:rFonts w:ascii="Symbol" w:hAnsi="Symbol" w:hint="default"/>
      </w:rPr>
    </w:lvl>
    <w:lvl w:ilvl="4" w:tplc="FFFFFFFF" w:tentative="1">
      <w:start w:val="1"/>
      <w:numFmt w:val="bullet"/>
      <w:lvlText w:val="o"/>
      <w:lvlJc w:val="left"/>
      <w:pPr>
        <w:tabs>
          <w:tab w:val="num" w:pos="3598"/>
        </w:tabs>
        <w:ind w:left="3598" w:hanging="360"/>
      </w:pPr>
      <w:rPr>
        <w:rFonts w:ascii="Courier New" w:hAnsi="Courier New" w:cs="Courier New" w:hint="default"/>
      </w:rPr>
    </w:lvl>
    <w:lvl w:ilvl="5" w:tplc="FFFFFFFF" w:tentative="1">
      <w:start w:val="1"/>
      <w:numFmt w:val="bullet"/>
      <w:lvlText w:val=""/>
      <w:lvlJc w:val="left"/>
      <w:pPr>
        <w:tabs>
          <w:tab w:val="num" w:pos="4318"/>
        </w:tabs>
        <w:ind w:left="4318" w:hanging="360"/>
      </w:pPr>
      <w:rPr>
        <w:rFonts w:ascii="Wingdings" w:hAnsi="Wingdings" w:hint="default"/>
      </w:rPr>
    </w:lvl>
    <w:lvl w:ilvl="6" w:tplc="FFFFFFFF" w:tentative="1">
      <w:start w:val="1"/>
      <w:numFmt w:val="bullet"/>
      <w:lvlText w:val=""/>
      <w:lvlJc w:val="left"/>
      <w:pPr>
        <w:tabs>
          <w:tab w:val="num" w:pos="5038"/>
        </w:tabs>
        <w:ind w:left="5038" w:hanging="360"/>
      </w:pPr>
      <w:rPr>
        <w:rFonts w:ascii="Symbol" w:hAnsi="Symbol" w:hint="default"/>
      </w:rPr>
    </w:lvl>
    <w:lvl w:ilvl="7" w:tplc="FFFFFFFF" w:tentative="1">
      <w:start w:val="1"/>
      <w:numFmt w:val="bullet"/>
      <w:lvlText w:val="o"/>
      <w:lvlJc w:val="left"/>
      <w:pPr>
        <w:tabs>
          <w:tab w:val="num" w:pos="5758"/>
        </w:tabs>
        <w:ind w:left="5758" w:hanging="360"/>
      </w:pPr>
      <w:rPr>
        <w:rFonts w:ascii="Courier New" w:hAnsi="Courier New" w:cs="Courier New" w:hint="default"/>
      </w:rPr>
    </w:lvl>
    <w:lvl w:ilvl="8" w:tplc="FFFFFFFF" w:tentative="1">
      <w:start w:val="1"/>
      <w:numFmt w:val="bullet"/>
      <w:lvlText w:val=""/>
      <w:lvlJc w:val="left"/>
      <w:pPr>
        <w:tabs>
          <w:tab w:val="num" w:pos="6478"/>
        </w:tabs>
        <w:ind w:left="6478" w:hanging="360"/>
      </w:pPr>
      <w:rPr>
        <w:rFonts w:ascii="Wingdings" w:hAnsi="Wingdings" w:hint="default"/>
      </w:rPr>
    </w:lvl>
  </w:abstractNum>
  <w:abstractNum w:abstractNumId="9" w15:restartNumberingAfterBreak="0">
    <w:nsid w:val="24B55F4D"/>
    <w:multiLevelType w:val="hybridMultilevel"/>
    <w:tmpl w:val="8E40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81E7C"/>
    <w:multiLevelType w:val="hybridMultilevel"/>
    <w:tmpl w:val="7610B4EE"/>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TimesNewRomanPSMT" w:hAnsi="TimesNewRomanPSMT" w:hint="default"/>
      </w:rPr>
    </w:lvl>
    <w:lvl w:ilvl="3" w:tplc="FFFFFFFF" w:tentative="1">
      <w:start w:val="1"/>
      <w:numFmt w:val="bullet"/>
      <w:lvlText w:val=""/>
      <w:lvlJc w:val="left"/>
      <w:pPr>
        <w:ind w:left="2880" w:hanging="360"/>
      </w:pPr>
      <w:rPr>
        <w:rFonts w:ascii="TimesNewRomanPS-ItalicMT" w:hAnsi="TimesNewRomanPS-ItalicMT"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TimesNewRomanPSMT" w:hAnsi="TimesNewRomanPSMT" w:hint="default"/>
      </w:rPr>
    </w:lvl>
    <w:lvl w:ilvl="6" w:tplc="FFFFFFFF" w:tentative="1">
      <w:start w:val="1"/>
      <w:numFmt w:val="bullet"/>
      <w:lvlText w:val=""/>
      <w:lvlJc w:val="left"/>
      <w:pPr>
        <w:ind w:left="5040" w:hanging="360"/>
      </w:pPr>
      <w:rPr>
        <w:rFonts w:ascii="TimesNewRomanPS-ItalicMT" w:hAnsi="TimesNewRomanPS-ItalicMT"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TimesNewRomanPSMT" w:hAnsi="TimesNewRomanPSMT" w:hint="default"/>
      </w:rPr>
    </w:lvl>
  </w:abstractNum>
  <w:abstractNum w:abstractNumId="11" w15:restartNumberingAfterBreak="0">
    <w:nsid w:val="29CF14E3"/>
    <w:multiLevelType w:val="hybridMultilevel"/>
    <w:tmpl w:val="9E92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23C7"/>
    <w:multiLevelType w:val="hybridMultilevel"/>
    <w:tmpl w:val="A9443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1115F5"/>
    <w:multiLevelType w:val="hybridMultilevel"/>
    <w:tmpl w:val="12FC9884"/>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F482E"/>
    <w:multiLevelType w:val="hybridMultilevel"/>
    <w:tmpl w:val="7542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6334E"/>
    <w:multiLevelType w:val="hybridMultilevel"/>
    <w:tmpl w:val="F844D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157B2F"/>
    <w:multiLevelType w:val="hybridMultilevel"/>
    <w:tmpl w:val="657C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8" w15:restartNumberingAfterBreak="0">
    <w:nsid w:val="444C6C0C"/>
    <w:multiLevelType w:val="hybridMultilevel"/>
    <w:tmpl w:val="9AD4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0" w15:restartNumberingAfterBreak="0">
    <w:nsid w:val="4B6933E9"/>
    <w:multiLevelType w:val="hybridMultilevel"/>
    <w:tmpl w:val="7B2A8CB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E567C31"/>
    <w:multiLevelType w:val="hybridMultilevel"/>
    <w:tmpl w:val="31C4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971D7"/>
    <w:multiLevelType w:val="hybridMultilevel"/>
    <w:tmpl w:val="BB7E6C58"/>
    <w:lvl w:ilvl="0" w:tplc="99CA50D4">
      <w:start w:val="1"/>
      <w:numFmt w:val="decimal"/>
      <w:lvlText w:val="%1."/>
      <w:lvlJc w:val="left"/>
      <w:pPr>
        <w:ind w:left="720" w:hanging="360"/>
      </w:pPr>
    </w:lvl>
    <w:lvl w:ilvl="1" w:tplc="6B8C486C" w:tentative="1">
      <w:start w:val="1"/>
      <w:numFmt w:val="lowerLetter"/>
      <w:lvlText w:val="%2."/>
      <w:lvlJc w:val="left"/>
      <w:pPr>
        <w:ind w:left="1440" w:hanging="360"/>
      </w:pPr>
    </w:lvl>
    <w:lvl w:ilvl="2" w:tplc="E43682CA" w:tentative="1">
      <w:start w:val="1"/>
      <w:numFmt w:val="lowerRoman"/>
      <w:lvlText w:val="%3."/>
      <w:lvlJc w:val="right"/>
      <w:pPr>
        <w:ind w:left="2160" w:hanging="180"/>
      </w:pPr>
    </w:lvl>
    <w:lvl w:ilvl="3" w:tplc="F78C7304" w:tentative="1">
      <w:start w:val="1"/>
      <w:numFmt w:val="decimal"/>
      <w:lvlText w:val="%4."/>
      <w:lvlJc w:val="left"/>
      <w:pPr>
        <w:ind w:left="2880" w:hanging="360"/>
      </w:pPr>
    </w:lvl>
    <w:lvl w:ilvl="4" w:tplc="C1624EF4" w:tentative="1">
      <w:start w:val="1"/>
      <w:numFmt w:val="lowerLetter"/>
      <w:lvlText w:val="%5."/>
      <w:lvlJc w:val="left"/>
      <w:pPr>
        <w:ind w:left="3600" w:hanging="360"/>
      </w:pPr>
    </w:lvl>
    <w:lvl w:ilvl="5" w:tplc="426CB98A" w:tentative="1">
      <w:start w:val="1"/>
      <w:numFmt w:val="lowerRoman"/>
      <w:lvlText w:val="%6."/>
      <w:lvlJc w:val="right"/>
      <w:pPr>
        <w:ind w:left="4320" w:hanging="180"/>
      </w:pPr>
    </w:lvl>
    <w:lvl w:ilvl="6" w:tplc="816ECC94" w:tentative="1">
      <w:start w:val="1"/>
      <w:numFmt w:val="decimal"/>
      <w:lvlText w:val="%7."/>
      <w:lvlJc w:val="left"/>
      <w:pPr>
        <w:ind w:left="5040" w:hanging="360"/>
      </w:pPr>
    </w:lvl>
    <w:lvl w:ilvl="7" w:tplc="FCDC4EC4" w:tentative="1">
      <w:start w:val="1"/>
      <w:numFmt w:val="lowerLetter"/>
      <w:lvlText w:val="%8."/>
      <w:lvlJc w:val="left"/>
      <w:pPr>
        <w:ind w:left="5760" w:hanging="360"/>
      </w:pPr>
    </w:lvl>
    <w:lvl w:ilvl="8" w:tplc="2A0A12B8" w:tentative="1">
      <w:start w:val="1"/>
      <w:numFmt w:val="lowerRoman"/>
      <w:lvlText w:val="%9."/>
      <w:lvlJc w:val="right"/>
      <w:pPr>
        <w:ind w:left="6480" w:hanging="180"/>
      </w:pPr>
    </w:lvl>
  </w:abstractNum>
  <w:abstractNum w:abstractNumId="23" w15:restartNumberingAfterBreak="0">
    <w:nsid w:val="621039EB"/>
    <w:multiLevelType w:val="hybridMultilevel"/>
    <w:tmpl w:val="55A650EC"/>
    <w:lvl w:ilvl="0" w:tplc="49D277E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065BE"/>
    <w:multiLevelType w:val="hybridMultilevel"/>
    <w:tmpl w:val="A8626C0A"/>
    <w:lvl w:ilvl="0" w:tplc="04090001">
      <w:start w:val="1"/>
      <w:numFmt w:val="bullet"/>
      <w:lvlText w:val=""/>
      <w:lvlJc w:val="left"/>
      <w:pPr>
        <w:ind w:left="360" w:hanging="360"/>
      </w:pPr>
      <w:rPr>
        <w:rFonts w:ascii="Symbol" w:hAnsi="Symbol" w:hint="default"/>
      </w:rPr>
    </w:lvl>
    <w:lvl w:ilvl="1" w:tplc="2C1A6C48">
      <w:numFmt w:val="bullet"/>
      <w:lvlText w:val="-"/>
      <w:lvlJc w:val="left"/>
      <w:pPr>
        <w:ind w:left="1284" w:hanging="564"/>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5424C4"/>
    <w:multiLevelType w:val="hybridMultilevel"/>
    <w:tmpl w:val="CFB0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877FF"/>
    <w:multiLevelType w:val="multilevel"/>
    <w:tmpl w:val="BE42665A"/>
    <w:lvl w:ilvl="0">
      <w:start w:val="1"/>
      <w:numFmt w:val="bullet"/>
      <w:pStyle w:val="C-Bullet"/>
      <w:lvlText w:val=""/>
      <w:lvlJc w:val="left"/>
      <w:pPr>
        <w:tabs>
          <w:tab w:val="num" w:pos="1440"/>
        </w:tabs>
        <w:ind w:left="1440" w:hanging="360"/>
      </w:pPr>
      <w:rPr>
        <w:rFonts w:ascii="Symbol" w:hAnsi="Symbol" w:hint="default"/>
        <w:sz w:val="24"/>
      </w:rPr>
    </w:lvl>
    <w:lvl w:ilvl="1">
      <w:start w:val="1"/>
      <w:numFmt w:val="bullet"/>
      <w:pStyle w:val="C-BulletIndented"/>
      <w:lvlText w:val=""/>
      <w:lvlJc w:val="left"/>
      <w:pPr>
        <w:tabs>
          <w:tab w:val="num" w:pos="1800"/>
        </w:tabs>
        <w:ind w:left="1800" w:hanging="360"/>
      </w:pPr>
      <w:rPr>
        <w:rFonts w:ascii="Symbol" w:hAnsi="Symbol" w:hint="default"/>
      </w:rPr>
    </w:lvl>
    <w:lvl w:ilvl="2">
      <w:start w:val="1"/>
      <w:numFmt w:val="bullet"/>
      <w:lvlText w:val=""/>
      <w:lvlJc w:val="left"/>
      <w:pPr>
        <w:ind w:left="1440" w:firstLine="0"/>
      </w:pPr>
      <w:rPr>
        <w:rFonts w:ascii="Symbol" w:hAnsi="Symbol" w:hint="default"/>
      </w:rPr>
    </w:lvl>
    <w:lvl w:ilvl="3">
      <w:start w:val="1"/>
      <w:numFmt w:val="bullet"/>
      <w:lvlText w:val=""/>
      <w:lvlJc w:val="left"/>
      <w:pPr>
        <w:ind w:left="1440" w:firstLine="0"/>
      </w:pPr>
      <w:rPr>
        <w:rFonts w:ascii="Symbol" w:hAnsi="Symbol" w:hint="default"/>
      </w:rPr>
    </w:lvl>
    <w:lvl w:ilvl="4">
      <w:start w:val="1"/>
      <w:numFmt w:val="bullet"/>
      <w:lvlText w:val=""/>
      <w:lvlJc w:val="left"/>
      <w:pPr>
        <w:ind w:left="1440" w:firstLine="0"/>
      </w:pPr>
      <w:rPr>
        <w:rFonts w:ascii="Symbol" w:hAnsi="Symbol" w:hint="default"/>
      </w:rPr>
    </w:lvl>
    <w:lvl w:ilvl="5">
      <w:start w:val="1"/>
      <w:numFmt w:val="bullet"/>
      <w:lvlText w:val=""/>
      <w:lvlJc w:val="left"/>
      <w:pPr>
        <w:ind w:left="1440" w:firstLine="0"/>
      </w:pPr>
      <w:rPr>
        <w:rFonts w:ascii="Symbol" w:hAnsi="Symbol" w:hint="default"/>
      </w:rPr>
    </w:lvl>
    <w:lvl w:ilvl="6">
      <w:start w:val="1"/>
      <w:numFmt w:val="bullet"/>
      <w:lvlText w:val=""/>
      <w:lvlJc w:val="left"/>
      <w:pPr>
        <w:ind w:left="1440" w:firstLine="0"/>
      </w:pPr>
      <w:rPr>
        <w:rFonts w:ascii="Symbol" w:hAnsi="Symbol" w:hint="default"/>
      </w:rPr>
    </w:lvl>
    <w:lvl w:ilvl="7">
      <w:start w:val="1"/>
      <w:numFmt w:val="bullet"/>
      <w:lvlText w:val=""/>
      <w:lvlJc w:val="left"/>
      <w:pPr>
        <w:ind w:left="1440" w:firstLine="0"/>
      </w:pPr>
      <w:rPr>
        <w:rFonts w:ascii="Symbol" w:hAnsi="Symbol" w:hint="default"/>
      </w:rPr>
    </w:lvl>
    <w:lvl w:ilvl="8">
      <w:start w:val="1"/>
      <w:numFmt w:val="bullet"/>
      <w:lvlText w:val=""/>
      <w:lvlJc w:val="left"/>
      <w:pPr>
        <w:ind w:left="1440" w:firstLine="0"/>
      </w:pPr>
      <w:rPr>
        <w:rFonts w:ascii="Symbol" w:hAnsi="Symbol" w:hint="default"/>
      </w:rPr>
    </w:lvl>
  </w:abstractNum>
  <w:abstractNum w:abstractNumId="27" w15:restartNumberingAfterBreak="0">
    <w:nsid w:val="6C4D0728"/>
    <w:multiLevelType w:val="hybridMultilevel"/>
    <w:tmpl w:val="9880D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94D0B"/>
    <w:multiLevelType w:val="hybridMultilevel"/>
    <w:tmpl w:val="6868B882"/>
    <w:lvl w:ilvl="0" w:tplc="0809000F">
      <w:start w:val="2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146D7"/>
    <w:multiLevelType w:val="hybridMultilevel"/>
    <w:tmpl w:val="834A0BAE"/>
    <w:lvl w:ilvl="0" w:tplc="55AC363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1697904">
    <w:abstractNumId w:val="4"/>
  </w:num>
  <w:num w:numId="2" w16cid:durableId="802312386">
    <w:abstractNumId w:val="28"/>
  </w:num>
  <w:num w:numId="3" w16cid:durableId="1562136772">
    <w:abstractNumId w:val="25"/>
  </w:num>
  <w:num w:numId="4" w16cid:durableId="1469667887">
    <w:abstractNumId w:val="7"/>
  </w:num>
  <w:num w:numId="5" w16cid:durableId="1547524736">
    <w:abstractNumId w:val="24"/>
  </w:num>
  <w:num w:numId="6" w16cid:durableId="974263453">
    <w:abstractNumId w:val="12"/>
  </w:num>
  <w:num w:numId="7" w16cid:durableId="1887906989">
    <w:abstractNumId w:val="26"/>
  </w:num>
  <w:num w:numId="8" w16cid:durableId="1329937728">
    <w:abstractNumId w:val="27"/>
  </w:num>
  <w:num w:numId="9" w16cid:durableId="1802190043">
    <w:abstractNumId w:val="19"/>
  </w:num>
  <w:num w:numId="10" w16cid:durableId="1786465618">
    <w:abstractNumId w:val="17"/>
  </w:num>
  <w:num w:numId="11" w16cid:durableId="1739666632">
    <w:abstractNumId w:val="5"/>
  </w:num>
  <w:num w:numId="12" w16cid:durableId="1636836161">
    <w:abstractNumId w:val="1"/>
  </w:num>
  <w:num w:numId="13" w16cid:durableId="1274287646">
    <w:abstractNumId w:val="30"/>
  </w:num>
  <w:num w:numId="14" w16cid:durableId="597979787">
    <w:abstractNumId w:val="2"/>
  </w:num>
  <w:num w:numId="15" w16cid:durableId="1361856210">
    <w:abstractNumId w:val="21"/>
  </w:num>
  <w:num w:numId="16" w16cid:durableId="439838823">
    <w:abstractNumId w:val="22"/>
  </w:num>
  <w:num w:numId="17" w16cid:durableId="196771276">
    <w:abstractNumId w:val="0"/>
  </w:num>
  <w:num w:numId="18" w16cid:durableId="694893357">
    <w:abstractNumId w:val="20"/>
  </w:num>
  <w:num w:numId="19" w16cid:durableId="592737112">
    <w:abstractNumId w:val="3"/>
  </w:num>
  <w:num w:numId="20" w16cid:durableId="983463939">
    <w:abstractNumId w:val="14"/>
  </w:num>
  <w:num w:numId="21" w16cid:durableId="170216941">
    <w:abstractNumId w:val="10"/>
  </w:num>
  <w:num w:numId="22" w16cid:durableId="898826597">
    <w:abstractNumId w:val="29"/>
  </w:num>
  <w:num w:numId="23" w16cid:durableId="820199831">
    <w:abstractNumId w:val="11"/>
  </w:num>
  <w:num w:numId="24" w16cid:durableId="298148424">
    <w:abstractNumId w:val="9"/>
  </w:num>
  <w:num w:numId="25" w16cid:durableId="24133940">
    <w:abstractNumId w:val="6"/>
  </w:num>
  <w:num w:numId="26" w16cid:durableId="901409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5406272">
    <w:abstractNumId w:val="13"/>
  </w:num>
  <w:num w:numId="28" w16cid:durableId="662666209">
    <w:abstractNumId w:val="23"/>
  </w:num>
  <w:num w:numId="29" w16cid:durableId="1522745576">
    <w:abstractNumId w:val="18"/>
  </w:num>
  <w:num w:numId="30" w16cid:durableId="1777671704">
    <w:abstractNumId w:val="8"/>
  </w:num>
  <w:num w:numId="31" w16cid:durableId="1121803396">
    <w:abstractNumId w:val="16"/>
  </w:num>
  <w:num w:numId="32" w16cid:durableId="10052100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1C6"/>
    <w:rsid w:val="00000D62"/>
    <w:rsid w:val="00001587"/>
    <w:rsid w:val="0000171E"/>
    <w:rsid w:val="0000323D"/>
    <w:rsid w:val="0000362A"/>
    <w:rsid w:val="00003AEF"/>
    <w:rsid w:val="00005321"/>
    <w:rsid w:val="00005701"/>
    <w:rsid w:val="00006E1E"/>
    <w:rsid w:val="0000716D"/>
    <w:rsid w:val="00007528"/>
    <w:rsid w:val="00010093"/>
    <w:rsid w:val="0001164F"/>
    <w:rsid w:val="00011A16"/>
    <w:rsid w:val="00011D35"/>
    <w:rsid w:val="0001214D"/>
    <w:rsid w:val="000127E6"/>
    <w:rsid w:val="00014869"/>
    <w:rsid w:val="000150D3"/>
    <w:rsid w:val="00015619"/>
    <w:rsid w:val="00016472"/>
    <w:rsid w:val="000166C1"/>
    <w:rsid w:val="0001699E"/>
    <w:rsid w:val="0001773D"/>
    <w:rsid w:val="00017D59"/>
    <w:rsid w:val="00017D94"/>
    <w:rsid w:val="0002006B"/>
    <w:rsid w:val="00020522"/>
    <w:rsid w:val="00020AE8"/>
    <w:rsid w:val="000212BB"/>
    <w:rsid w:val="00022759"/>
    <w:rsid w:val="00022EF8"/>
    <w:rsid w:val="00023381"/>
    <w:rsid w:val="00023769"/>
    <w:rsid w:val="00023A2C"/>
    <w:rsid w:val="000250F7"/>
    <w:rsid w:val="00025EBE"/>
    <w:rsid w:val="00025EDD"/>
    <w:rsid w:val="000261B7"/>
    <w:rsid w:val="00026BF2"/>
    <w:rsid w:val="00026DE9"/>
    <w:rsid w:val="000271F6"/>
    <w:rsid w:val="000273D7"/>
    <w:rsid w:val="00027A3B"/>
    <w:rsid w:val="00027CCC"/>
    <w:rsid w:val="00030445"/>
    <w:rsid w:val="000313C9"/>
    <w:rsid w:val="000318C7"/>
    <w:rsid w:val="00031E76"/>
    <w:rsid w:val="00032C27"/>
    <w:rsid w:val="00033D26"/>
    <w:rsid w:val="00033D53"/>
    <w:rsid w:val="00033FDB"/>
    <w:rsid w:val="000341E8"/>
    <w:rsid w:val="000344F6"/>
    <w:rsid w:val="000346CE"/>
    <w:rsid w:val="0003697A"/>
    <w:rsid w:val="00036AF4"/>
    <w:rsid w:val="00036BA3"/>
    <w:rsid w:val="00036D56"/>
    <w:rsid w:val="00037092"/>
    <w:rsid w:val="000407AF"/>
    <w:rsid w:val="0004175A"/>
    <w:rsid w:val="00041CD6"/>
    <w:rsid w:val="00041E4C"/>
    <w:rsid w:val="00042145"/>
    <w:rsid w:val="00042173"/>
    <w:rsid w:val="00042263"/>
    <w:rsid w:val="000422F7"/>
    <w:rsid w:val="00042368"/>
    <w:rsid w:val="00042CA1"/>
    <w:rsid w:val="000434E9"/>
    <w:rsid w:val="00043505"/>
    <w:rsid w:val="00043C70"/>
    <w:rsid w:val="00043C75"/>
    <w:rsid w:val="00043E88"/>
    <w:rsid w:val="00044042"/>
    <w:rsid w:val="000444DE"/>
    <w:rsid w:val="000463D5"/>
    <w:rsid w:val="000465C8"/>
    <w:rsid w:val="000467BF"/>
    <w:rsid w:val="000474D2"/>
    <w:rsid w:val="0004760E"/>
    <w:rsid w:val="000479C5"/>
    <w:rsid w:val="00050DFD"/>
    <w:rsid w:val="0005173B"/>
    <w:rsid w:val="000518D4"/>
    <w:rsid w:val="00051DB3"/>
    <w:rsid w:val="000521E4"/>
    <w:rsid w:val="00053809"/>
    <w:rsid w:val="00053914"/>
    <w:rsid w:val="00054756"/>
    <w:rsid w:val="000556C8"/>
    <w:rsid w:val="0005598A"/>
    <w:rsid w:val="000560C5"/>
    <w:rsid w:val="00056B75"/>
    <w:rsid w:val="00056C49"/>
    <w:rsid w:val="00056D39"/>
    <w:rsid w:val="00056D74"/>
    <w:rsid w:val="00056D91"/>
    <w:rsid w:val="00056FE0"/>
    <w:rsid w:val="00057208"/>
    <w:rsid w:val="00057B14"/>
    <w:rsid w:val="00060090"/>
    <w:rsid w:val="000600AA"/>
    <w:rsid w:val="000603C8"/>
    <w:rsid w:val="000605FD"/>
    <w:rsid w:val="000608A4"/>
    <w:rsid w:val="00060A06"/>
    <w:rsid w:val="00060AA1"/>
    <w:rsid w:val="00061717"/>
    <w:rsid w:val="000618F5"/>
    <w:rsid w:val="0006193F"/>
    <w:rsid w:val="00061D65"/>
    <w:rsid w:val="00061FEE"/>
    <w:rsid w:val="00062B46"/>
    <w:rsid w:val="000630F0"/>
    <w:rsid w:val="000631FD"/>
    <w:rsid w:val="00063B39"/>
    <w:rsid w:val="000640C8"/>
    <w:rsid w:val="000643D3"/>
    <w:rsid w:val="000648A8"/>
    <w:rsid w:val="00067373"/>
    <w:rsid w:val="00067B16"/>
    <w:rsid w:val="00067CF9"/>
    <w:rsid w:val="0007042E"/>
    <w:rsid w:val="000706DB"/>
    <w:rsid w:val="00071A85"/>
    <w:rsid w:val="00071F8A"/>
    <w:rsid w:val="0007279D"/>
    <w:rsid w:val="00072ABB"/>
    <w:rsid w:val="000733F8"/>
    <w:rsid w:val="00073E04"/>
    <w:rsid w:val="0007401B"/>
    <w:rsid w:val="00075123"/>
    <w:rsid w:val="000757B2"/>
    <w:rsid w:val="00075CBB"/>
    <w:rsid w:val="00076008"/>
    <w:rsid w:val="0007628D"/>
    <w:rsid w:val="0007655D"/>
    <w:rsid w:val="000766E6"/>
    <w:rsid w:val="00076934"/>
    <w:rsid w:val="00077228"/>
    <w:rsid w:val="0007738A"/>
    <w:rsid w:val="0008030B"/>
    <w:rsid w:val="0008058D"/>
    <w:rsid w:val="00081815"/>
    <w:rsid w:val="00081DAB"/>
    <w:rsid w:val="00082B52"/>
    <w:rsid w:val="00082CD6"/>
    <w:rsid w:val="00083778"/>
    <w:rsid w:val="00083B9A"/>
    <w:rsid w:val="00084856"/>
    <w:rsid w:val="000851A8"/>
    <w:rsid w:val="00085BE1"/>
    <w:rsid w:val="00085D89"/>
    <w:rsid w:val="00085FF3"/>
    <w:rsid w:val="00086D5A"/>
    <w:rsid w:val="00086E6B"/>
    <w:rsid w:val="0008705B"/>
    <w:rsid w:val="00087577"/>
    <w:rsid w:val="00087A65"/>
    <w:rsid w:val="0009130F"/>
    <w:rsid w:val="00091B99"/>
    <w:rsid w:val="00091DF7"/>
    <w:rsid w:val="0009251E"/>
    <w:rsid w:val="00092829"/>
    <w:rsid w:val="00092B09"/>
    <w:rsid w:val="00092BFE"/>
    <w:rsid w:val="00092D81"/>
    <w:rsid w:val="00092E09"/>
    <w:rsid w:val="00092EFC"/>
    <w:rsid w:val="00093007"/>
    <w:rsid w:val="0009351E"/>
    <w:rsid w:val="000941B4"/>
    <w:rsid w:val="0009448B"/>
    <w:rsid w:val="00094501"/>
    <w:rsid w:val="0009477D"/>
    <w:rsid w:val="0009479A"/>
    <w:rsid w:val="00094A1B"/>
    <w:rsid w:val="00094AD6"/>
    <w:rsid w:val="00095D61"/>
    <w:rsid w:val="00095E44"/>
    <w:rsid w:val="000961BE"/>
    <w:rsid w:val="00096D8D"/>
    <w:rsid w:val="0009755A"/>
    <w:rsid w:val="00097EFF"/>
    <w:rsid w:val="000A1232"/>
    <w:rsid w:val="000A168E"/>
    <w:rsid w:val="000A25ED"/>
    <w:rsid w:val="000A2AFB"/>
    <w:rsid w:val="000A30E5"/>
    <w:rsid w:val="000A334E"/>
    <w:rsid w:val="000A3466"/>
    <w:rsid w:val="000A3861"/>
    <w:rsid w:val="000A40D0"/>
    <w:rsid w:val="000A467D"/>
    <w:rsid w:val="000A4B7A"/>
    <w:rsid w:val="000A4EC5"/>
    <w:rsid w:val="000A4ECD"/>
    <w:rsid w:val="000A5F82"/>
    <w:rsid w:val="000A639E"/>
    <w:rsid w:val="000A6448"/>
    <w:rsid w:val="000A6B73"/>
    <w:rsid w:val="000A7454"/>
    <w:rsid w:val="000A7A6A"/>
    <w:rsid w:val="000B0097"/>
    <w:rsid w:val="000B0106"/>
    <w:rsid w:val="000B09C5"/>
    <w:rsid w:val="000B0A10"/>
    <w:rsid w:val="000B0A42"/>
    <w:rsid w:val="000B101F"/>
    <w:rsid w:val="000B1F23"/>
    <w:rsid w:val="000B1F4B"/>
    <w:rsid w:val="000B24CF"/>
    <w:rsid w:val="000B2785"/>
    <w:rsid w:val="000B2850"/>
    <w:rsid w:val="000B2C14"/>
    <w:rsid w:val="000B2C20"/>
    <w:rsid w:val="000B2F27"/>
    <w:rsid w:val="000B2F58"/>
    <w:rsid w:val="000B3730"/>
    <w:rsid w:val="000B37A8"/>
    <w:rsid w:val="000B3EDF"/>
    <w:rsid w:val="000B51D9"/>
    <w:rsid w:val="000B5280"/>
    <w:rsid w:val="000B541F"/>
    <w:rsid w:val="000B59AE"/>
    <w:rsid w:val="000B5D70"/>
    <w:rsid w:val="000B5F48"/>
    <w:rsid w:val="000B6124"/>
    <w:rsid w:val="000B6819"/>
    <w:rsid w:val="000C0319"/>
    <w:rsid w:val="000C03FB"/>
    <w:rsid w:val="000C109D"/>
    <w:rsid w:val="000C1444"/>
    <w:rsid w:val="000C17B3"/>
    <w:rsid w:val="000C257C"/>
    <w:rsid w:val="000C308F"/>
    <w:rsid w:val="000C3A66"/>
    <w:rsid w:val="000C3DF9"/>
    <w:rsid w:val="000C40AB"/>
    <w:rsid w:val="000C52B7"/>
    <w:rsid w:val="000C5A4E"/>
    <w:rsid w:val="000C601C"/>
    <w:rsid w:val="000C61B3"/>
    <w:rsid w:val="000C635D"/>
    <w:rsid w:val="000C7128"/>
    <w:rsid w:val="000C72A4"/>
    <w:rsid w:val="000C7D03"/>
    <w:rsid w:val="000C7F49"/>
    <w:rsid w:val="000D0479"/>
    <w:rsid w:val="000D0492"/>
    <w:rsid w:val="000D067A"/>
    <w:rsid w:val="000D0DE4"/>
    <w:rsid w:val="000D16B5"/>
    <w:rsid w:val="000D1762"/>
    <w:rsid w:val="000D1AEE"/>
    <w:rsid w:val="000D1DDA"/>
    <w:rsid w:val="000D1F4F"/>
    <w:rsid w:val="000D1FF9"/>
    <w:rsid w:val="000D4121"/>
    <w:rsid w:val="000D4D07"/>
    <w:rsid w:val="000D52D2"/>
    <w:rsid w:val="000D65C3"/>
    <w:rsid w:val="000D732F"/>
    <w:rsid w:val="000D7535"/>
    <w:rsid w:val="000E0F31"/>
    <w:rsid w:val="000E108D"/>
    <w:rsid w:val="000E1285"/>
    <w:rsid w:val="000E165D"/>
    <w:rsid w:val="000E1BAF"/>
    <w:rsid w:val="000E223E"/>
    <w:rsid w:val="000E2491"/>
    <w:rsid w:val="000E26E3"/>
    <w:rsid w:val="000E2897"/>
    <w:rsid w:val="000E2EA9"/>
    <w:rsid w:val="000E4119"/>
    <w:rsid w:val="000E46A3"/>
    <w:rsid w:val="000E4E88"/>
    <w:rsid w:val="000E5726"/>
    <w:rsid w:val="000E5C11"/>
    <w:rsid w:val="000E6180"/>
    <w:rsid w:val="000E6217"/>
    <w:rsid w:val="000E64C9"/>
    <w:rsid w:val="000E66FE"/>
    <w:rsid w:val="000E6C94"/>
    <w:rsid w:val="000E796D"/>
    <w:rsid w:val="000E7BBE"/>
    <w:rsid w:val="000E7DC8"/>
    <w:rsid w:val="000F004D"/>
    <w:rsid w:val="000F01A1"/>
    <w:rsid w:val="000F06FF"/>
    <w:rsid w:val="000F070A"/>
    <w:rsid w:val="000F1BB2"/>
    <w:rsid w:val="000F1D7F"/>
    <w:rsid w:val="000F217A"/>
    <w:rsid w:val="000F2E61"/>
    <w:rsid w:val="000F332A"/>
    <w:rsid w:val="000F3B6A"/>
    <w:rsid w:val="000F3E5A"/>
    <w:rsid w:val="000F3F94"/>
    <w:rsid w:val="000F49F4"/>
    <w:rsid w:val="000F5235"/>
    <w:rsid w:val="000F529C"/>
    <w:rsid w:val="000F59B5"/>
    <w:rsid w:val="000F5B21"/>
    <w:rsid w:val="000F61ED"/>
    <w:rsid w:val="000F6281"/>
    <w:rsid w:val="000F642B"/>
    <w:rsid w:val="000F668B"/>
    <w:rsid w:val="000F6CE0"/>
    <w:rsid w:val="000F702E"/>
    <w:rsid w:val="000F7FB0"/>
    <w:rsid w:val="0010121D"/>
    <w:rsid w:val="00101779"/>
    <w:rsid w:val="0010179E"/>
    <w:rsid w:val="0010180E"/>
    <w:rsid w:val="001018B9"/>
    <w:rsid w:val="001020A8"/>
    <w:rsid w:val="0010255F"/>
    <w:rsid w:val="00102CEF"/>
    <w:rsid w:val="00103501"/>
    <w:rsid w:val="001037BD"/>
    <w:rsid w:val="001037E8"/>
    <w:rsid w:val="00103A14"/>
    <w:rsid w:val="00103B2D"/>
    <w:rsid w:val="00103BD6"/>
    <w:rsid w:val="00103CD2"/>
    <w:rsid w:val="00104061"/>
    <w:rsid w:val="00104B59"/>
    <w:rsid w:val="00104B89"/>
    <w:rsid w:val="001068F6"/>
    <w:rsid w:val="0010691A"/>
    <w:rsid w:val="0010695A"/>
    <w:rsid w:val="00106D87"/>
    <w:rsid w:val="00107186"/>
    <w:rsid w:val="00107236"/>
    <w:rsid w:val="001074B3"/>
    <w:rsid w:val="00110064"/>
    <w:rsid w:val="001101A2"/>
    <w:rsid w:val="001106F7"/>
    <w:rsid w:val="001108A9"/>
    <w:rsid w:val="001111F6"/>
    <w:rsid w:val="00111352"/>
    <w:rsid w:val="00111571"/>
    <w:rsid w:val="00111B04"/>
    <w:rsid w:val="001120BE"/>
    <w:rsid w:val="001122A5"/>
    <w:rsid w:val="00112BCD"/>
    <w:rsid w:val="00112EDA"/>
    <w:rsid w:val="00114143"/>
    <w:rsid w:val="00114174"/>
    <w:rsid w:val="0011434B"/>
    <w:rsid w:val="00114496"/>
    <w:rsid w:val="001146B3"/>
    <w:rsid w:val="0011487E"/>
    <w:rsid w:val="00115852"/>
    <w:rsid w:val="00116904"/>
    <w:rsid w:val="00116ED1"/>
    <w:rsid w:val="0011700B"/>
    <w:rsid w:val="00117156"/>
    <w:rsid w:val="00117168"/>
    <w:rsid w:val="00117564"/>
    <w:rsid w:val="001176B5"/>
    <w:rsid w:val="00117B4A"/>
    <w:rsid w:val="00117C1D"/>
    <w:rsid w:val="00122F05"/>
    <w:rsid w:val="00122F9B"/>
    <w:rsid w:val="00123192"/>
    <w:rsid w:val="00123688"/>
    <w:rsid w:val="00123894"/>
    <w:rsid w:val="001238D8"/>
    <w:rsid w:val="00124479"/>
    <w:rsid w:val="001247D2"/>
    <w:rsid w:val="001278D6"/>
    <w:rsid w:val="00127E47"/>
    <w:rsid w:val="00127F47"/>
    <w:rsid w:val="001306CC"/>
    <w:rsid w:val="00130BCA"/>
    <w:rsid w:val="00132C8D"/>
    <w:rsid w:val="00133572"/>
    <w:rsid w:val="00134A4D"/>
    <w:rsid w:val="00134E4A"/>
    <w:rsid w:val="001352A1"/>
    <w:rsid w:val="001352DF"/>
    <w:rsid w:val="00135770"/>
    <w:rsid w:val="001359F1"/>
    <w:rsid w:val="001364FB"/>
    <w:rsid w:val="001365F2"/>
    <w:rsid w:val="00136D7A"/>
    <w:rsid w:val="00136EDD"/>
    <w:rsid w:val="001374C5"/>
    <w:rsid w:val="00137E6A"/>
    <w:rsid w:val="00140E5E"/>
    <w:rsid w:val="00141160"/>
    <w:rsid w:val="00141311"/>
    <w:rsid w:val="00141470"/>
    <w:rsid w:val="00141540"/>
    <w:rsid w:val="00142566"/>
    <w:rsid w:val="00143EB2"/>
    <w:rsid w:val="00143EC0"/>
    <w:rsid w:val="0014445D"/>
    <w:rsid w:val="001449DF"/>
    <w:rsid w:val="0014569B"/>
    <w:rsid w:val="001464A8"/>
    <w:rsid w:val="001470E0"/>
    <w:rsid w:val="001476D5"/>
    <w:rsid w:val="00147EBB"/>
    <w:rsid w:val="00147F70"/>
    <w:rsid w:val="00150060"/>
    <w:rsid w:val="001501A4"/>
    <w:rsid w:val="001509F5"/>
    <w:rsid w:val="00150A82"/>
    <w:rsid w:val="00150C78"/>
    <w:rsid w:val="0015104B"/>
    <w:rsid w:val="001519D3"/>
    <w:rsid w:val="00151E7C"/>
    <w:rsid w:val="0015208A"/>
    <w:rsid w:val="001527CE"/>
    <w:rsid w:val="00152D4B"/>
    <w:rsid w:val="00153606"/>
    <w:rsid w:val="00153A01"/>
    <w:rsid w:val="00153ADC"/>
    <w:rsid w:val="001543E5"/>
    <w:rsid w:val="0015476E"/>
    <w:rsid w:val="00154C69"/>
    <w:rsid w:val="001556CD"/>
    <w:rsid w:val="0015597A"/>
    <w:rsid w:val="00155BC6"/>
    <w:rsid w:val="00156FAA"/>
    <w:rsid w:val="0015704C"/>
    <w:rsid w:val="0015764E"/>
    <w:rsid w:val="001576E0"/>
    <w:rsid w:val="00157895"/>
    <w:rsid w:val="00160C4D"/>
    <w:rsid w:val="00161701"/>
    <w:rsid w:val="00161812"/>
    <w:rsid w:val="00161908"/>
    <w:rsid w:val="00161C38"/>
    <w:rsid w:val="00161E87"/>
    <w:rsid w:val="00163607"/>
    <w:rsid w:val="00163745"/>
    <w:rsid w:val="00163F47"/>
    <w:rsid w:val="00163FBB"/>
    <w:rsid w:val="00164317"/>
    <w:rsid w:val="0016479C"/>
    <w:rsid w:val="00165371"/>
    <w:rsid w:val="0016566C"/>
    <w:rsid w:val="00165DBC"/>
    <w:rsid w:val="00166874"/>
    <w:rsid w:val="00166F8F"/>
    <w:rsid w:val="00167652"/>
    <w:rsid w:val="00170880"/>
    <w:rsid w:val="0017183D"/>
    <w:rsid w:val="00171C82"/>
    <w:rsid w:val="00171D0A"/>
    <w:rsid w:val="00172132"/>
    <w:rsid w:val="0017220F"/>
    <w:rsid w:val="001727F0"/>
    <w:rsid w:val="00172B06"/>
    <w:rsid w:val="00173344"/>
    <w:rsid w:val="0017347E"/>
    <w:rsid w:val="00173E3A"/>
    <w:rsid w:val="00174D99"/>
    <w:rsid w:val="001752D8"/>
    <w:rsid w:val="00175692"/>
    <w:rsid w:val="00175931"/>
    <w:rsid w:val="00175E52"/>
    <w:rsid w:val="00176285"/>
    <w:rsid w:val="00176A9A"/>
    <w:rsid w:val="00176B25"/>
    <w:rsid w:val="00177986"/>
    <w:rsid w:val="00180E87"/>
    <w:rsid w:val="00181180"/>
    <w:rsid w:val="00181CFB"/>
    <w:rsid w:val="00181EB6"/>
    <w:rsid w:val="00181F14"/>
    <w:rsid w:val="0018238B"/>
    <w:rsid w:val="00182653"/>
    <w:rsid w:val="00182B28"/>
    <w:rsid w:val="00182F89"/>
    <w:rsid w:val="00183419"/>
    <w:rsid w:val="0018394A"/>
    <w:rsid w:val="00183F9C"/>
    <w:rsid w:val="001848BA"/>
    <w:rsid w:val="00184DCC"/>
    <w:rsid w:val="00184E56"/>
    <w:rsid w:val="00185AF9"/>
    <w:rsid w:val="00185EE8"/>
    <w:rsid w:val="00186590"/>
    <w:rsid w:val="00186A9D"/>
    <w:rsid w:val="00186AC0"/>
    <w:rsid w:val="001874A6"/>
    <w:rsid w:val="0018765B"/>
    <w:rsid w:val="00187831"/>
    <w:rsid w:val="00187A6C"/>
    <w:rsid w:val="00190196"/>
    <w:rsid w:val="001904AE"/>
    <w:rsid w:val="00190913"/>
    <w:rsid w:val="001909C4"/>
    <w:rsid w:val="00190C73"/>
    <w:rsid w:val="0019170B"/>
    <w:rsid w:val="00191BDA"/>
    <w:rsid w:val="0019236A"/>
    <w:rsid w:val="00192701"/>
    <w:rsid w:val="00192E53"/>
    <w:rsid w:val="00193170"/>
    <w:rsid w:val="00193B21"/>
    <w:rsid w:val="00193D05"/>
    <w:rsid w:val="00193DD3"/>
    <w:rsid w:val="001948AA"/>
    <w:rsid w:val="001949A0"/>
    <w:rsid w:val="00194A3D"/>
    <w:rsid w:val="00194D6D"/>
    <w:rsid w:val="001953AB"/>
    <w:rsid w:val="0019589E"/>
    <w:rsid w:val="00195F65"/>
    <w:rsid w:val="001960DD"/>
    <w:rsid w:val="00196132"/>
    <w:rsid w:val="00196C67"/>
    <w:rsid w:val="001A07E2"/>
    <w:rsid w:val="001A09B3"/>
    <w:rsid w:val="001A0A5D"/>
    <w:rsid w:val="001A158F"/>
    <w:rsid w:val="001A1B5A"/>
    <w:rsid w:val="001A2018"/>
    <w:rsid w:val="001A335E"/>
    <w:rsid w:val="001A391B"/>
    <w:rsid w:val="001A4897"/>
    <w:rsid w:val="001A53B3"/>
    <w:rsid w:val="001A56F1"/>
    <w:rsid w:val="001A5D0E"/>
    <w:rsid w:val="001A5D20"/>
    <w:rsid w:val="001A5DCA"/>
    <w:rsid w:val="001A5F21"/>
    <w:rsid w:val="001A6E26"/>
    <w:rsid w:val="001A73E3"/>
    <w:rsid w:val="001A7914"/>
    <w:rsid w:val="001A7CB0"/>
    <w:rsid w:val="001B01C8"/>
    <w:rsid w:val="001B066D"/>
    <w:rsid w:val="001B0B52"/>
    <w:rsid w:val="001B13F6"/>
    <w:rsid w:val="001B1747"/>
    <w:rsid w:val="001B1DBF"/>
    <w:rsid w:val="001B1F3E"/>
    <w:rsid w:val="001B2D44"/>
    <w:rsid w:val="001B3CD7"/>
    <w:rsid w:val="001B4396"/>
    <w:rsid w:val="001B50B5"/>
    <w:rsid w:val="001B752A"/>
    <w:rsid w:val="001B78AD"/>
    <w:rsid w:val="001C07A5"/>
    <w:rsid w:val="001C08B9"/>
    <w:rsid w:val="001C12CC"/>
    <w:rsid w:val="001C12FB"/>
    <w:rsid w:val="001C1A4F"/>
    <w:rsid w:val="001C216B"/>
    <w:rsid w:val="001C23AE"/>
    <w:rsid w:val="001C23B7"/>
    <w:rsid w:val="001C2639"/>
    <w:rsid w:val="001C2DB4"/>
    <w:rsid w:val="001C2ED6"/>
    <w:rsid w:val="001C3228"/>
    <w:rsid w:val="001C35E9"/>
    <w:rsid w:val="001C36BD"/>
    <w:rsid w:val="001C3733"/>
    <w:rsid w:val="001C49B3"/>
    <w:rsid w:val="001C5085"/>
    <w:rsid w:val="001C50C4"/>
    <w:rsid w:val="001C5B30"/>
    <w:rsid w:val="001C5D49"/>
    <w:rsid w:val="001C6681"/>
    <w:rsid w:val="001C6A26"/>
    <w:rsid w:val="001C6ECA"/>
    <w:rsid w:val="001D0C33"/>
    <w:rsid w:val="001D0D8C"/>
    <w:rsid w:val="001D0DBA"/>
    <w:rsid w:val="001D26A6"/>
    <w:rsid w:val="001D2953"/>
    <w:rsid w:val="001D29F6"/>
    <w:rsid w:val="001D33C4"/>
    <w:rsid w:val="001D3BB2"/>
    <w:rsid w:val="001D3C05"/>
    <w:rsid w:val="001D48D2"/>
    <w:rsid w:val="001D4B0F"/>
    <w:rsid w:val="001D4D9D"/>
    <w:rsid w:val="001D5C95"/>
    <w:rsid w:val="001D5FC8"/>
    <w:rsid w:val="001D6AC8"/>
    <w:rsid w:val="001D6AF4"/>
    <w:rsid w:val="001D6DAD"/>
    <w:rsid w:val="001E0279"/>
    <w:rsid w:val="001E05E5"/>
    <w:rsid w:val="001E0CC1"/>
    <w:rsid w:val="001E0ECE"/>
    <w:rsid w:val="001E1530"/>
    <w:rsid w:val="001E16AA"/>
    <w:rsid w:val="001E1952"/>
    <w:rsid w:val="001E1C10"/>
    <w:rsid w:val="001E1DE3"/>
    <w:rsid w:val="001E225D"/>
    <w:rsid w:val="001E2F8B"/>
    <w:rsid w:val="001E3469"/>
    <w:rsid w:val="001E375D"/>
    <w:rsid w:val="001E3A0F"/>
    <w:rsid w:val="001E3CC0"/>
    <w:rsid w:val="001E57D2"/>
    <w:rsid w:val="001E6A51"/>
    <w:rsid w:val="001E77C3"/>
    <w:rsid w:val="001E77F2"/>
    <w:rsid w:val="001F090B"/>
    <w:rsid w:val="001F146B"/>
    <w:rsid w:val="001F180A"/>
    <w:rsid w:val="001F1A28"/>
    <w:rsid w:val="001F1A65"/>
    <w:rsid w:val="001F1A7E"/>
    <w:rsid w:val="001F1AD0"/>
    <w:rsid w:val="001F26FF"/>
    <w:rsid w:val="001F27A3"/>
    <w:rsid w:val="001F2DC4"/>
    <w:rsid w:val="001F31B1"/>
    <w:rsid w:val="001F3432"/>
    <w:rsid w:val="001F35E8"/>
    <w:rsid w:val="001F4014"/>
    <w:rsid w:val="001F43FF"/>
    <w:rsid w:val="001F445E"/>
    <w:rsid w:val="001F4842"/>
    <w:rsid w:val="001F51A9"/>
    <w:rsid w:val="001F6423"/>
    <w:rsid w:val="001F6452"/>
    <w:rsid w:val="001F6F30"/>
    <w:rsid w:val="001F71BA"/>
    <w:rsid w:val="001F72E0"/>
    <w:rsid w:val="001F786A"/>
    <w:rsid w:val="001F79DB"/>
    <w:rsid w:val="001F7D89"/>
    <w:rsid w:val="001F7F53"/>
    <w:rsid w:val="00201213"/>
    <w:rsid w:val="0020165E"/>
    <w:rsid w:val="002018DA"/>
    <w:rsid w:val="002019CE"/>
    <w:rsid w:val="0020272E"/>
    <w:rsid w:val="00202E50"/>
    <w:rsid w:val="00204131"/>
    <w:rsid w:val="00204AAB"/>
    <w:rsid w:val="00204DC4"/>
    <w:rsid w:val="00204EE3"/>
    <w:rsid w:val="00205180"/>
    <w:rsid w:val="0020538B"/>
    <w:rsid w:val="002058A4"/>
    <w:rsid w:val="00205960"/>
    <w:rsid w:val="00205C65"/>
    <w:rsid w:val="00205CA3"/>
    <w:rsid w:val="00206478"/>
    <w:rsid w:val="00206F0A"/>
    <w:rsid w:val="00207C7D"/>
    <w:rsid w:val="00207F81"/>
    <w:rsid w:val="002109F4"/>
    <w:rsid w:val="002112C9"/>
    <w:rsid w:val="0021188F"/>
    <w:rsid w:val="00211D6C"/>
    <w:rsid w:val="00211FDA"/>
    <w:rsid w:val="00212E66"/>
    <w:rsid w:val="00213EB0"/>
    <w:rsid w:val="00214BF1"/>
    <w:rsid w:val="00215C73"/>
    <w:rsid w:val="00215D92"/>
    <w:rsid w:val="00215FDA"/>
    <w:rsid w:val="0021600C"/>
    <w:rsid w:val="002160C2"/>
    <w:rsid w:val="00216640"/>
    <w:rsid w:val="002177A6"/>
    <w:rsid w:val="00217996"/>
    <w:rsid w:val="0022102F"/>
    <w:rsid w:val="00221AD0"/>
    <w:rsid w:val="00222BB9"/>
    <w:rsid w:val="00222E27"/>
    <w:rsid w:val="00223215"/>
    <w:rsid w:val="00224A05"/>
    <w:rsid w:val="00224B8A"/>
    <w:rsid w:val="002255CB"/>
    <w:rsid w:val="002258D6"/>
    <w:rsid w:val="00225C38"/>
    <w:rsid w:val="0022612C"/>
    <w:rsid w:val="002265A0"/>
    <w:rsid w:val="00226686"/>
    <w:rsid w:val="00226C1F"/>
    <w:rsid w:val="00226CCF"/>
    <w:rsid w:val="00226E18"/>
    <w:rsid w:val="002273B8"/>
    <w:rsid w:val="002274FB"/>
    <w:rsid w:val="002300E3"/>
    <w:rsid w:val="00230517"/>
    <w:rsid w:val="00230763"/>
    <w:rsid w:val="002309D2"/>
    <w:rsid w:val="00231066"/>
    <w:rsid w:val="00231B61"/>
    <w:rsid w:val="00232839"/>
    <w:rsid w:val="00232FD8"/>
    <w:rsid w:val="0023315B"/>
    <w:rsid w:val="00233918"/>
    <w:rsid w:val="002347FE"/>
    <w:rsid w:val="00235062"/>
    <w:rsid w:val="00235107"/>
    <w:rsid w:val="002360D3"/>
    <w:rsid w:val="00236FF0"/>
    <w:rsid w:val="002378A0"/>
    <w:rsid w:val="002379E8"/>
    <w:rsid w:val="0024178D"/>
    <w:rsid w:val="00241A7E"/>
    <w:rsid w:val="00241BDF"/>
    <w:rsid w:val="00241E1D"/>
    <w:rsid w:val="00242E95"/>
    <w:rsid w:val="00243431"/>
    <w:rsid w:val="002438A6"/>
    <w:rsid w:val="0024392B"/>
    <w:rsid w:val="00243A52"/>
    <w:rsid w:val="00243F0A"/>
    <w:rsid w:val="00243F52"/>
    <w:rsid w:val="0024420E"/>
    <w:rsid w:val="00244FD7"/>
    <w:rsid w:val="00245051"/>
    <w:rsid w:val="002450C6"/>
    <w:rsid w:val="00245589"/>
    <w:rsid w:val="0024559E"/>
    <w:rsid w:val="0024573A"/>
    <w:rsid w:val="002457DC"/>
    <w:rsid w:val="00245DCF"/>
    <w:rsid w:val="00246C65"/>
    <w:rsid w:val="00246EF4"/>
    <w:rsid w:val="002471D5"/>
    <w:rsid w:val="0024721F"/>
    <w:rsid w:val="00250353"/>
    <w:rsid w:val="002509A9"/>
    <w:rsid w:val="0025177A"/>
    <w:rsid w:val="002518C6"/>
    <w:rsid w:val="00251A10"/>
    <w:rsid w:val="00251B80"/>
    <w:rsid w:val="00251E61"/>
    <w:rsid w:val="00252BFF"/>
    <w:rsid w:val="00253732"/>
    <w:rsid w:val="002542A8"/>
    <w:rsid w:val="0025651F"/>
    <w:rsid w:val="0025661E"/>
    <w:rsid w:val="002572E9"/>
    <w:rsid w:val="002576E2"/>
    <w:rsid w:val="002577D4"/>
    <w:rsid w:val="00260862"/>
    <w:rsid w:val="00260A11"/>
    <w:rsid w:val="00260C16"/>
    <w:rsid w:val="0026134D"/>
    <w:rsid w:val="00261508"/>
    <w:rsid w:val="0026154B"/>
    <w:rsid w:val="0026169A"/>
    <w:rsid w:val="002626C0"/>
    <w:rsid w:val="00262763"/>
    <w:rsid w:val="00262B89"/>
    <w:rsid w:val="002630B7"/>
    <w:rsid w:val="0026333D"/>
    <w:rsid w:val="002643BA"/>
    <w:rsid w:val="002648B9"/>
    <w:rsid w:val="00264BEA"/>
    <w:rsid w:val="00265285"/>
    <w:rsid w:val="0026588A"/>
    <w:rsid w:val="002674D9"/>
    <w:rsid w:val="00267850"/>
    <w:rsid w:val="00267DF6"/>
    <w:rsid w:val="0027049B"/>
    <w:rsid w:val="00270A61"/>
    <w:rsid w:val="00270D10"/>
    <w:rsid w:val="00271032"/>
    <w:rsid w:val="0027213C"/>
    <w:rsid w:val="002729BF"/>
    <w:rsid w:val="0027347E"/>
    <w:rsid w:val="00273D53"/>
    <w:rsid w:val="00273D97"/>
    <w:rsid w:val="00273E3E"/>
    <w:rsid w:val="00273E70"/>
    <w:rsid w:val="00274147"/>
    <w:rsid w:val="002742DB"/>
    <w:rsid w:val="00274CD7"/>
    <w:rsid w:val="00274F80"/>
    <w:rsid w:val="00275189"/>
    <w:rsid w:val="002756DC"/>
    <w:rsid w:val="002757CB"/>
    <w:rsid w:val="00276056"/>
    <w:rsid w:val="002762C3"/>
    <w:rsid w:val="00276412"/>
    <w:rsid w:val="00276437"/>
    <w:rsid w:val="002775B3"/>
    <w:rsid w:val="00277CF5"/>
    <w:rsid w:val="00277D25"/>
    <w:rsid w:val="00280053"/>
    <w:rsid w:val="0028063F"/>
    <w:rsid w:val="00280740"/>
    <w:rsid w:val="00280C3A"/>
    <w:rsid w:val="00280F9E"/>
    <w:rsid w:val="002819D5"/>
    <w:rsid w:val="00281B60"/>
    <w:rsid w:val="00281C06"/>
    <w:rsid w:val="00281FC0"/>
    <w:rsid w:val="0028368B"/>
    <w:rsid w:val="00283B02"/>
    <w:rsid w:val="00283B16"/>
    <w:rsid w:val="00283C5D"/>
    <w:rsid w:val="002840CB"/>
    <w:rsid w:val="00284480"/>
    <w:rsid w:val="002844B0"/>
    <w:rsid w:val="002857FF"/>
    <w:rsid w:val="002859AC"/>
    <w:rsid w:val="00285B13"/>
    <w:rsid w:val="00286283"/>
    <w:rsid w:val="00286322"/>
    <w:rsid w:val="00286932"/>
    <w:rsid w:val="00286B16"/>
    <w:rsid w:val="00287093"/>
    <w:rsid w:val="00287A6B"/>
    <w:rsid w:val="00287AD6"/>
    <w:rsid w:val="002904A7"/>
    <w:rsid w:val="0029264E"/>
    <w:rsid w:val="00293C37"/>
    <w:rsid w:val="002952C9"/>
    <w:rsid w:val="00295704"/>
    <w:rsid w:val="0029687E"/>
    <w:rsid w:val="002968D1"/>
    <w:rsid w:val="00296AD6"/>
    <w:rsid w:val="00296B03"/>
    <w:rsid w:val="00296B51"/>
    <w:rsid w:val="00296C1F"/>
    <w:rsid w:val="00296CB5"/>
    <w:rsid w:val="00297DAA"/>
    <w:rsid w:val="002A29AF"/>
    <w:rsid w:val="002A41E6"/>
    <w:rsid w:val="002A44C8"/>
    <w:rsid w:val="002A545A"/>
    <w:rsid w:val="002A5E48"/>
    <w:rsid w:val="002A5EF5"/>
    <w:rsid w:val="002A6600"/>
    <w:rsid w:val="002A6958"/>
    <w:rsid w:val="002A6B79"/>
    <w:rsid w:val="002A7C7A"/>
    <w:rsid w:val="002B0059"/>
    <w:rsid w:val="002B0455"/>
    <w:rsid w:val="002B04B7"/>
    <w:rsid w:val="002B0DA7"/>
    <w:rsid w:val="002B1E1F"/>
    <w:rsid w:val="002B21D5"/>
    <w:rsid w:val="002B2443"/>
    <w:rsid w:val="002B261C"/>
    <w:rsid w:val="002B2BEE"/>
    <w:rsid w:val="002B34BB"/>
    <w:rsid w:val="002B35C5"/>
    <w:rsid w:val="002B375A"/>
    <w:rsid w:val="002B3935"/>
    <w:rsid w:val="002B406A"/>
    <w:rsid w:val="002B41D4"/>
    <w:rsid w:val="002B543F"/>
    <w:rsid w:val="002B6165"/>
    <w:rsid w:val="002B62AF"/>
    <w:rsid w:val="002B62D1"/>
    <w:rsid w:val="002B643F"/>
    <w:rsid w:val="002B6A58"/>
    <w:rsid w:val="002B7532"/>
    <w:rsid w:val="002B7899"/>
    <w:rsid w:val="002B7B27"/>
    <w:rsid w:val="002B7C25"/>
    <w:rsid w:val="002B7D73"/>
    <w:rsid w:val="002C044C"/>
    <w:rsid w:val="002C06E3"/>
    <w:rsid w:val="002C0801"/>
    <w:rsid w:val="002C145F"/>
    <w:rsid w:val="002C20EC"/>
    <w:rsid w:val="002C327B"/>
    <w:rsid w:val="002C33B3"/>
    <w:rsid w:val="002C3982"/>
    <w:rsid w:val="002C41DA"/>
    <w:rsid w:val="002C44B0"/>
    <w:rsid w:val="002C4E07"/>
    <w:rsid w:val="002C63BF"/>
    <w:rsid w:val="002C6EDD"/>
    <w:rsid w:val="002C721C"/>
    <w:rsid w:val="002C761E"/>
    <w:rsid w:val="002D0586"/>
    <w:rsid w:val="002D1023"/>
    <w:rsid w:val="002D1459"/>
    <w:rsid w:val="002D1470"/>
    <w:rsid w:val="002D1E65"/>
    <w:rsid w:val="002D21CF"/>
    <w:rsid w:val="002D2F52"/>
    <w:rsid w:val="002D324B"/>
    <w:rsid w:val="002D37B7"/>
    <w:rsid w:val="002D3DB7"/>
    <w:rsid w:val="002D3F5F"/>
    <w:rsid w:val="002D4705"/>
    <w:rsid w:val="002D4B30"/>
    <w:rsid w:val="002D5B65"/>
    <w:rsid w:val="002D60B9"/>
    <w:rsid w:val="002D61DB"/>
    <w:rsid w:val="002D6396"/>
    <w:rsid w:val="002D694A"/>
    <w:rsid w:val="002D6E31"/>
    <w:rsid w:val="002D7E5E"/>
    <w:rsid w:val="002D7EB0"/>
    <w:rsid w:val="002E07BA"/>
    <w:rsid w:val="002E07EF"/>
    <w:rsid w:val="002E0ABE"/>
    <w:rsid w:val="002E0D06"/>
    <w:rsid w:val="002E169F"/>
    <w:rsid w:val="002E1810"/>
    <w:rsid w:val="002E1909"/>
    <w:rsid w:val="002E36ED"/>
    <w:rsid w:val="002E372E"/>
    <w:rsid w:val="002E3F83"/>
    <w:rsid w:val="002E4D03"/>
    <w:rsid w:val="002E4E94"/>
    <w:rsid w:val="002E5145"/>
    <w:rsid w:val="002E6767"/>
    <w:rsid w:val="002E7021"/>
    <w:rsid w:val="002F0769"/>
    <w:rsid w:val="002F08B7"/>
    <w:rsid w:val="002F0C7A"/>
    <w:rsid w:val="002F0F79"/>
    <w:rsid w:val="002F1007"/>
    <w:rsid w:val="002F1F28"/>
    <w:rsid w:val="002F23C6"/>
    <w:rsid w:val="002F2CD4"/>
    <w:rsid w:val="002F3B6E"/>
    <w:rsid w:val="002F3B99"/>
    <w:rsid w:val="002F41FC"/>
    <w:rsid w:val="002F43CA"/>
    <w:rsid w:val="002F45DF"/>
    <w:rsid w:val="002F57AA"/>
    <w:rsid w:val="002F5AE9"/>
    <w:rsid w:val="002F614D"/>
    <w:rsid w:val="002F6EF7"/>
    <w:rsid w:val="002F714C"/>
    <w:rsid w:val="002F7575"/>
    <w:rsid w:val="002F77BF"/>
    <w:rsid w:val="002F77CF"/>
    <w:rsid w:val="002F7ADE"/>
    <w:rsid w:val="002F7CA6"/>
    <w:rsid w:val="003004A2"/>
    <w:rsid w:val="0030131C"/>
    <w:rsid w:val="003017F5"/>
    <w:rsid w:val="00301F85"/>
    <w:rsid w:val="00302868"/>
    <w:rsid w:val="00302A06"/>
    <w:rsid w:val="00302B8B"/>
    <w:rsid w:val="00303DD5"/>
    <w:rsid w:val="003043EF"/>
    <w:rsid w:val="00304671"/>
    <w:rsid w:val="00304FD2"/>
    <w:rsid w:val="003052A7"/>
    <w:rsid w:val="00305379"/>
    <w:rsid w:val="00305762"/>
    <w:rsid w:val="003058A9"/>
    <w:rsid w:val="003060A9"/>
    <w:rsid w:val="00306DAA"/>
    <w:rsid w:val="003073C2"/>
    <w:rsid w:val="00307830"/>
    <w:rsid w:val="00307B74"/>
    <w:rsid w:val="00310196"/>
    <w:rsid w:val="00310422"/>
    <w:rsid w:val="0031074F"/>
    <w:rsid w:val="00310764"/>
    <w:rsid w:val="0031116F"/>
    <w:rsid w:val="00311244"/>
    <w:rsid w:val="00311917"/>
    <w:rsid w:val="00311B7C"/>
    <w:rsid w:val="00311BFD"/>
    <w:rsid w:val="00312688"/>
    <w:rsid w:val="00312A98"/>
    <w:rsid w:val="00314073"/>
    <w:rsid w:val="00314718"/>
    <w:rsid w:val="0031488A"/>
    <w:rsid w:val="00314EFA"/>
    <w:rsid w:val="00315744"/>
    <w:rsid w:val="003166BF"/>
    <w:rsid w:val="003175CC"/>
    <w:rsid w:val="003175E1"/>
    <w:rsid w:val="00317BB4"/>
    <w:rsid w:val="00317F1A"/>
    <w:rsid w:val="00317F2E"/>
    <w:rsid w:val="00320203"/>
    <w:rsid w:val="003203A8"/>
    <w:rsid w:val="00320A9B"/>
    <w:rsid w:val="00322002"/>
    <w:rsid w:val="003224BC"/>
    <w:rsid w:val="003225EB"/>
    <w:rsid w:val="00324017"/>
    <w:rsid w:val="003247B0"/>
    <w:rsid w:val="00325CDD"/>
    <w:rsid w:val="00325E81"/>
    <w:rsid w:val="00326948"/>
    <w:rsid w:val="00326CFD"/>
    <w:rsid w:val="00327052"/>
    <w:rsid w:val="003273C9"/>
    <w:rsid w:val="003277FC"/>
    <w:rsid w:val="003307F8"/>
    <w:rsid w:val="003329B1"/>
    <w:rsid w:val="0033345B"/>
    <w:rsid w:val="00334219"/>
    <w:rsid w:val="0033442D"/>
    <w:rsid w:val="0033486D"/>
    <w:rsid w:val="00335009"/>
    <w:rsid w:val="00335228"/>
    <w:rsid w:val="00335635"/>
    <w:rsid w:val="00335C46"/>
    <w:rsid w:val="003367C4"/>
    <w:rsid w:val="00336D8E"/>
    <w:rsid w:val="003376B3"/>
    <w:rsid w:val="00337CBC"/>
    <w:rsid w:val="00340426"/>
    <w:rsid w:val="00340B78"/>
    <w:rsid w:val="00340DDE"/>
    <w:rsid w:val="00341019"/>
    <w:rsid w:val="00341DFD"/>
    <w:rsid w:val="00341E99"/>
    <w:rsid w:val="00341EC9"/>
    <w:rsid w:val="00342308"/>
    <w:rsid w:val="003426BB"/>
    <w:rsid w:val="00342DBA"/>
    <w:rsid w:val="0034315E"/>
    <w:rsid w:val="00345F9C"/>
    <w:rsid w:val="0034607E"/>
    <w:rsid w:val="0034729D"/>
    <w:rsid w:val="00347776"/>
    <w:rsid w:val="00347ECE"/>
    <w:rsid w:val="003513DA"/>
    <w:rsid w:val="00351A91"/>
    <w:rsid w:val="003520C4"/>
    <w:rsid w:val="003521C6"/>
    <w:rsid w:val="00352D97"/>
    <w:rsid w:val="003533AE"/>
    <w:rsid w:val="00353735"/>
    <w:rsid w:val="00353BFE"/>
    <w:rsid w:val="00353F56"/>
    <w:rsid w:val="0035438D"/>
    <w:rsid w:val="00354411"/>
    <w:rsid w:val="0035462B"/>
    <w:rsid w:val="00355B26"/>
    <w:rsid w:val="00355E14"/>
    <w:rsid w:val="00356753"/>
    <w:rsid w:val="0035796E"/>
    <w:rsid w:val="00357C5E"/>
    <w:rsid w:val="003608BD"/>
    <w:rsid w:val="00361280"/>
    <w:rsid w:val="003615F1"/>
    <w:rsid w:val="00361A6E"/>
    <w:rsid w:val="003622AE"/>
    <w:rsid w:val="003626AF"/>
    <w:rsid w:val="00362D23"/>
    <w:rsid w:val="00363D7F"/>
    <w:rsid w:val="00364378"/>
    <w:rsid w:val="00364BF6"/>
    <w:rsid w:val="00364DDB"/>
    <w:rsid w:val="00364EAA"/>
    <w:rsid w:val="00365345"/>
    <w:rsid w:val="003658B5"/>
    <w:rsid w:val="00365EF6"/>
    <w:rsid w:val="0036625E"/>
    <w:rsid w:val="0036655E"/>
    <w:rsid w:val="0036680F"/>
    <w:rsid w:val="003673F5"/>
    <w:rsid w:val="00367BE1"/>
    <w:rsid w:val="00367C66"/>
    <w:rsid w:val="00367F7F"/>
    <w:rsid w:val="003700B2"/>
    <w:rsid w:val="00370478"/>
    <w:rsid w:val="0037057A"/>
    <w:rsid w:val="00370667"/>
    <w:rsid w:val="00370811"/>
    <w:rsid w:val="00370A83"/>
    <w:rsid w:val="00370BD8"/>
    <w:rsid w:val="003713AC"/>
    <w:rsid w:val="00371449"/>
    <w:rsid w:val="00371FE6"/>
    <w:rsid w:val="0037233D"/>
    <w:rsid w:val="003736EF"/>
    <w:rsid w:val="003737E3"/>
    <w:rsid w:val="003739C5"/>
    <w:rsid w:val="00373D9D"/>
    <w:rsid w:val="00374344"/>
    <w:rsid w:val="00375C17"/>
    <w:rsid w:val="0037634F"/>
    <w:rsid w:val="00380A1A"/>
    <w:rsid w:val="00380B65"/>
    <w:rsid w:val="00380D80"/>
    <w:rsid w:val="00381125"/>
    <w:rsid w:val="00381771"/>
    <w:rsid w:val="00382146"/>
    <w:rsid w:val="003830A7"/>
    <w:rsid w:val="00383CDE"/>
    <w:rsid w:val="0038500E"/>
    <w:rsid w:val="00385527"/>
    <w:rsid w:val="0038613B"/>
    <w:rsid w:val="0038631F"/>
    <w:rsid w:val="0038761D"/>
    <w:rsid w:val="003877FC"/>
    <w:rsid w:val="00387D3E"/>
    <w:rsid w:val="003902BE"/>
    <w:rsid w:val="003906F8"/>
    <w:rsid w:val="00390EA5"/>
    <w:rsid w:val="00391044"/>
    <w:rsid w:val="003911D3"/>
    <w:rsid w:val="003926B7"/>
    <w:rsid w:val="00392968"/>
    <w:rsid w:val="00392E4D"/>
    <w:rsid w:val="00392EED"/>
    <w:rsid w:val="0039303B"/>
    <w:rsid w:val="003935EE"/>
    <w:rsid w:val="00393DA2"/>
    <w:rsid w:val="00393E91"/>
    <w:rsid w:val="00393EE9"/>
    <w:rsid w:val="0039408A"/>
    <w:rsid w:val="00394144"/>
    <w:rsid w:val="0039446E"/>
    <w:rsid w:val="003945F5"/>
    <w:rsid w:val="003946B8"/>
    <w:rsid w:val="0039545F"/>
    <w:rsid w:val="00395A3C"/>
    <w:rsid w:val="0039673D"/>
    <w:rsid w:val="003975DA"/>
    <w:rsid w:val="00397893"/>
    <w:rsid w:val="00397B67"/>
    <w:rsid w:val="00397E93"/>
    <w:rsid w:val="003A010B"/>
    <w:rsid w:val="003A0427"/>
    <w:rsid w:val="003A0750"/>
    <w:rsid w:val="003A08A9"/>
    <w:rsid w:val="003A2407"/>
    <w:rsid w:val="003A2CF0"/>
    <w:rsid w:val="003A33D3"/>
    <w:rsid w:val="003A3880"/>
    <w:rsid w:val="003A3CFE"/>
    <w:rsid w:val="003A4B52"/>
    <w:rsid w:val="003A5380"/>
    <w:rsid w:val="003A5427"/>
    <w:rsid w:val="003A5BC5"/>
    <w:rsid w:val="003A5D55"/>
    <w:rsid w:val="003A687E"/>
    <w:rsid w:val="003A715D"/>
    <w:rsid w:val="003A75E6"/>
    <w:rsid w:val="003B0E75"/>
    <w:rsid w:val="003B255B"/>
    <w:rsid w:val="003B3317"/>
    <w:rsid w:val="003B4652"/>
    <w:rsid w:val="003B4B2F"/>
    <w:rsid w:val="003B4C50"/>
    <w:rsid w:val="003B52D4"/>
    <w:rsid w:val="003B5717"/>
    <w:rsid w:val="003B5750"/>
    <w:rsid w:val="003B69D6"/>
    <w:rsid w:val="003B7595"/>
    <w:rsid w:val="003B78D5"/>
    <w:rsid w:val="003B7F16"/>
    <w:rsid w:val="003C128E"/>
    <w:rsid w:val="003C18A6"/>
    <w:rsid w:val="003C1A8D"/>
    <w:rsid w:val="003C1B87"/>
    <w:rsid w:val="003C1C6E"/>
    <w:rsid w:val="003C1CA5"/>
    <w:rsid w:val="003C1EC7"/>
    <w:rsid w:val="003C2F08"/>
    <w:rsid w:val="003C39FD"/>
    <w:rsid w:val="003C3D8E"/>
    <w:rsid w:val="003C3E7D"/>
    <w:rsid w:val="003C49CD"/>
    <w:rsid w:val="003C4D68"/>
    <w:rsid w:val="003C5A01"/>
    <w:rsid w:val="003C5E61"/>
    <w:rsid w:val="003C5EFD"/>
    <w:rsid w:val="003C64A0"/>
    <w:rsid w:val="003C6719"/>
    <w:rsid w:val="003C6B2C"/>
    <w:rsid w:val="003C6F0B"/>
    <w:rsid w:val="003C7BA3"/>
    <w:rsid w:val="003C7F33"/>
    <w:rsid w:val="003D02DB"/>
    <w:rsid w:val="003D07D2"/>
    <w:rsid w:val="003D12FC"/>
    <w:rsid w:val="003D180F"/>
    <w:rsid w:val="003D18DA"/>
    <w:rsid w:val="003D1F91"/>
    <w:rsid w:val="003D2BDE"/>
    <w:rsid w:val="003D2C08"/>
    <w:rsid w:val="003D3642"/>
    <w:rsid w:val="003D37F7"/>
    <w:rsid w:val="003D3A0F"/>
    <w:rsid w:val="003D4186"/>
    <w:rsid w:val="003D4E1F"/>
    <w:rsid w:val="003D4E9C"/>
    <w:rsid w:val="003D5DA3"/>
    <w:rsid w:val="003D5EE8"/>
    <w:rsid w:val="003D698D"/>
    <w:rsid w:val="003D6C6B"/>
    <w:rsid w:val="003D7E3F"/>
    <w:rsid w:val="003D7FD3"/>
    <w:rsid w:val="003E0D78"/>
    <w:rsid w:val="003E1CB1"/>
    <w:rsid w:val="003E24CC"/>
    <w:rsid w:val="003E292E"/>
    <w:rsid w:val="003E2DE0"/>
    <w:rsid w:val="003E2F21"/>
    <w:rsid w:val="003E3898"/>
    <w:rsid w:val="003E3A1D"/>
    <w:rsid w:val="003E3D7A"/>
    <w:rsid w:val="003E5382"/>
    <w:rsid w:val="003E6038"/>
    <w:rsid w:val="003E64AB"/>
    <w:rsid w:val="003E6919"/>
    <w:rsid w:val="003E6CA0"/>
    <w:rsid w:val="003E72DE"/>
    <w:rsid w:val="003E7730"/>
    <w:rsid w:val="003F0929"/>
    <w:rsid w:val="003F0D93"/>
    <w:rsid w:val="003F1F41"/>
    <w:rsid w:val="003F2AB8"/>
    <w:rsid w:val="003F2FDE"/>
    <w:rsid w:val="003F330B"/>
    <w:rsid w:val="003F4CE7"/>
    <w:rsid w:val="003F5B98"/>
    <w:rsid w:val="003F6200"/>
    <w:rsid w:val="003F684B"/>
    <w:rsid w:val="003F6E0F"/>
    <w:rsid w:val="003F6FDF"/>
    <w:rsid w:val="00400043"/>
    <w:rsid w:val="0040044D"/>
    <w:rsid w:val="004016F5"/>
    <w:rsid w:val="00401E01"/>
    <w:rsid w:val="004020F1"/>
    <w:rsid w:val="0040369B"/>
    <w:rsid w:val="00403C75"/>
    <w:rsid w:val="004045AA"/>
    <w:rsid w:val="0040549A"/>
    <w:rsid w:val="00405C22"/>
    <w:rsid w:val="00405CC9"/>
    <w:rsid w:val="0040711E"/>
    <w:rsid w:val="00407178"/>
    <w:rsid w:val="004074E7"/>
    <w:rsid w:val="004076D7"/>
    <w:rsid w:val="004077D3"/>
    <w:rsid w:val="00407D67"/>
    <w:rsid w:val="00407E5E"/>
    <w:rsid w:val="004104BD"/>
    <w:rsid w:val="004106A4"/>
    <w:rsid w:val="00410E7C"/>
    <w:rsid w:val="004110DC"/>
    <w:rsid w:val="004119B1"/>
    <w:rsid w:val="00411EDB"/>
    <w:rsid w:val="00412450"/>
    <w:rsid w:val="0041300A"/>
    <w:rsid w:val="004131BB"/>
    <w:rsid w:val="00413259"/>
    <w:rsid w:val="0041338F"/>
    <w:rsid w:val="00413845"/>
    <w:rsid w:val="004138DE"/>
    <w:rsid w:val="00413B39"/>
    <w:rsid w:val="00414B2F"/>
    <w:rsid w:val="00414B90"/>
    <w:rsid w:val="00414E3A"/>
    <w:rsid w:val="004150FA"/>
    <w:rsid w:val="00415E58"/>
    <w:rsid w:val="00416231"/>
    <w:rsid w:val="00417987"/>
    <w:rsid w:val="004202BB"/>
    <w:rsid w:val="00420304"/>
    <w:rsid w:val="004208AB"/>
    <w:rsid w:val="00420C9C"/>
    <w:rsid w:val="004217BE"/>
    <w:rsid w:val="004219EF"/>
    <w:rsid w:val="00421A72"/>
    <w:rsid w:val="00421C15"/>
    <w:rsid w:val="0042255B"/>
    <w:rsid w:val="0042309B"/>
    <w:rsid w:val="004233D8"/>
    <w:rsid w:val="00423C55"/>
    <w:rsid w:val="00424348"/>
    <w:rsid w:val="00424635"/>
    <w:rsid w:val="004247E8"/>
    <w:rsid w:val="004248F0"/>
    <w:rsid w:val="00424F13"/>
    <w:rsid w:val="00425A96"/>
    <w:rsid w:val="00426118"/>
    <w:rsid w:val="0042640C"/>
    <w:rsid w:val="00426CD9"/>
    <w:rsid w:val="00426F32"/>
    <w:rsid w:val="00426F84"/>
    <w:rsid w:val="0042707A"/>
    <w:rsid w:val="00427467"/>
    <w:rsid w:val="004275A9"/>
    <w:rsid w:val="00427CD1"/>
    <w:rsid w:val="004300F6"/>
    <w:rsid w:val="00430F15"/>
    <w:rsid w:val="00430FEB"/>
    <w:rsid w:val="00431097"/>
    <w:rsid w:val="004310EE"/>
    <w:rsid w:val="00431AE2"/>
    <w:rsid w:val="00431DCB"/>
    <w:rsid w:val="00431E74"/>
    <w:rsid w:val="00431F49"/>
    <w:rsid w:val="0043228D"/>
    <w:rsid w:val="0043283C"/>
    <w:rsid w:val="004331D7"/>
    <w:rsid w:val="00433677"/>
    <w:rsid w:val="004340D5"/>
    <w:rsid w:val="00434326"/>
    <w:rsid w:val="0043455F"/>
    <w:rsid w:val="00434880"/>
    <w:rsid w:val="00434A0B"/>
    <w:rsid w:val="00434A21"/>
    <w:rsid w:val="00435022"/>
    <w:rsid w:val="0043526D"/>
    <w:rsid w:val="004356A7"/>
    <w:rsid w:val="00436873"/>
    <w:rsid w:val="00436BE4"/>
    <w:rsid w:val="00437975"/>
    <w:rsid w:val="00440154"/>
    <w:rsid w:val="004405FC"/>
    <w:rsid w:val="00440817"/>
    <w:rsid w:val="00440DA8"/>
    <w:rsid w:val="00441086"/>
    <w:rsid w:val="0044186A"/>
    <w:rsid w:val="00441878"/>
    <w:rsid w:val="00441D65"/>
    <w:rsid w:val="00442038"/>
    <w:rsid w:val="004436E7"/>
    <w:rsid w:val="004439E1"/>
    <w:rsid w:val="00443A49"/>
    <w:rsid w:val="00444001"/>
    <w:rsid w:val="004453BA"/>
    <w:rsid w:val="0044558B"/>
    <w:rsid w:val="004458DD"/>
    <w:rsid w:val="004460E9"/>
    <w:rsid w:val="004472B5"/>
    <w:rsid w:val="00447B6F"/>
    <w:rsid w:val="004501BE"/>
    <w:rsid w:val="00450982"/>
    <w:rsid w:val="004513E3"/>
    <w:rsid w:val="00451DDC"/>
    <w:rsid w:val="00452842"/>
    <w:rsid w:val="00452D82"/>
    <w:rsid w:val="00452F64"/>
    <w:rsid w:val="00453623"/>
    <w:rsid w:val="00453A5B"/>
    <w:rsid w:val="00453B49"/>
    <w:rsid w:val="00453C11"/>
    <w:rsid w:val="00453E93"/>
    <w:rsid w:val="00453E9B"/>
    <w:rsid w:val="00454AB7"/>
    <w:rsid w:val="004557B0"/>
    <w:rsid w:val="004560EB"/>
    <w:rsid w:val="00456DAE"/>
    <w:rsid w:val="00457439"/>
    <w:rsid w:val="00457946"/>
    <w:rsid w:val="00457D8B"/>
    <w:rsid w:val="00460A17"/>
    <w:rsid w:val="00460D96"/>
    <w:rsid w:val="0046120A"/>
    <w:rsid w:val="00461677"/>
    <w:rsid w:val="00461BC7"/>
    <w:rsid w:val="00462F79"/>
    <w:rsid w:val="004630F2"/>
    <w:rsid w:val="00463438"/>
    <w:rsid w:val="00463ECE"/>
    <w:rsid w:val="00463FED"/>
    <w:rsid w:val="00465388"/>
    <w:rsid w:val="00465A01"/>
    <w:rsid w:val="00466263"/>
    <w:rsid w:val="004677C9"/>
    <w:rsid w:val="0047020E"/>
    <w:rsid w:val="00470635"/>
    <w:rsid w:val="00470AE6"/>
    <w:rsid w:val="00470CB5"/>
    <w:rsid w:val="004718F3"/>
    <w:rsid w:val="00471B56"/>
    <w:rsid w:val="00471EAB"/>
    <w:rsid w:val="004723EE"/>
    <w:rsid w:val="00472768"/>
    <w:rsid w:val="00472AFA"/>
    <w:rsid w:val="00472F29"/>
    <w:rsid w:val="00473200"/>
    <w:rsid w:val="0047580F"/>
    <w:rsid w:val="00475A92"/>
    <w:rsid w:val="00475E4B"/>
    <w:rsid w:val="00475FB6"/>
    <w:rsid w:val="00475FFC"/>
    <w:rsid w:val="004766E5"/>
    <w:rsid w:val="004769A7"/>
    <w:rsid w:val="00476C79"/>
    <w:rsid w:val="00477010"/>
    <w:rsid w:val="004776C2"/>
    <w:rsid w:val="004776C8"/>
    <w:rsid w:val="00477BB9"/>
    <w:rsid w:val="00477CCC"/>
    <w:rsid w:val="0048047A"/>
    <w:rsid w:val="004823D0"/>
    <w:rsid w:val="00482A6B"/>
    <w:rsid w:val="00482E84"/>
    <w:rsid w:val="00482F95"/>
    <w:rsid w:val="0048344C"/>
    <w:rsid w:val="004836C3"/>
    <w:rsid w:val="00483F87"/>
    <w:rsid w:val="004840D2"/>
    <w:rsid w:val="0048498D"/>
    <w:rsid w:val="00484A52"/>
    <w:rsid w:val="00485128"/>
    <w:rsid w:val="00485306"/>
    <w:rsid w:val="004859EE"/>
    <w:rsid w:val="004859F6"/>
    <w:rsid w:val="00485AF4"/>
    <w:rsid w:val="00487366"/>
    <w:rsid w:val="004873E4"/>
    <w:rsid w:val="00487524"/>
    <w:rsid w:val="00490332"/>
    <w:rsid w:val="0049072C"/>
    <w:rsid w:val="00490938"/>
    <w:rsid w:val="00490968"/>
    <w:rsid w:val="00490FD1"/>
    <w:rsid w:val="00491489"/>
    <w:rsid w:val="00491AD2"/>
    <w:rsid w:val="004935C0"/>
    <w:rsid w:val="00493B43"/>
    <w:rsid w:val="004948F7"/>
    <w:rsid w:val="00494EB1"/>
    <w:rsid w:val="00495C9A"/>
    <w:rsid w:val="00495F8D"/>
    <w:rsid w:val="00496414"/>
    <w:rsid w:val="00496891"/>
    <w:rsid w:val="00497A38"/>
    <w:rsid w:val="004A021D"/>
    <w:rsid w:val="004A03D6"/>
    <w:rsid w:val="004A0AC7"/>
    <w:rsid w:val="004A0FC7"/>
    <w:rsid w:val="004A1649"/>
    <w:rsid w:val="004A1A32"/>
    <w:rsid w:val="004A1CFF"/>
    <w:rsid w:val="004A2100"/>
    <w:rsid w:val="004A2A52"/>
    <w:rsid w:val="004A2CF1"/>
    <w:rsid w:val="004A3B54"/>
    <w:rsid w:val="004A3CAF"/>
    <w:rsid w:val="004A3F7D"/>
    <w:rsid w:val="004A4084"/>
    <w:rsid w:val="004A42A8"/>
    <w:rsid w:val="004A4448"/>
    <w:rsid w:val="004A45BD"/>
    <w:rsid w:val="004A4656"/>
    <w:rsid w:val="004A4B84"/>
    <w:rsid w:val="004A565C"/>
    <w:rsid w:val="004A6021"/>
    <w:rsid w:val="004A6519"/>
    <w:rsid w:val="004A674F"/>
    <w:rsid w:val="004A77B0"/>
    <w:rsid w:val="004B02F2"/>
    <w:rsid w:val="004B08A9"/>
    <w:rsid w:val="004B0CA3"/>
    <w:rsid w:val="004B165D"/>
    <w:rsid w:val="004B1CED"/>
    <w:rsid w:val="004B1DC9"/>
    <w:rsid w:val="004B2021"/>
    <w:rsid w:val="004B2052"/>
    <w:rsid w:val="004B2598"/>
    <w:rsid w:val="004B26CA"/>
    <w:rsid w:val="004B34A7"/>
    <w:rsid w:val="004B3B06"/>
    <w:rsid w:val="004B3ED5"/>
    <w:rsid w:val="004B3F2B"/>
    <w:rsid w:val="004B4643"/>
    <w:rsid w:val="004B4667"/>
    <w:rsid w:val="004B559E"/>
    <w:rsid w:val="004B567D"/>
    <w:rsid w:val="004B5C82"/>
    <w:rsid w:val="004B5CBC"/>
    <w:rsid w:val="004B7707"/>
    <w:rsid w:val="004B7F67"/>
    <w:rsid w:val="004C0136"/>
    <w:rsid w:val="004C06BE"/>
    <w:rsid w:val="004C06F8"/>
    <w:rsid w:val="004C07C0"/>
    <w:rsid w:val="004C0938"/>
    <w:rsid w:val="004C0BF6"/>
    <w:rsid w:val="004C167C"/>
    <w:rsid w:val="004C1994"/>
    <w:rsid w:val="004C259C"/>
    <w:rsid w:val="004C2A36"/>
    <w:rsid w:val="004C3336"/>
    <w:rsid w:val="004C4B00"/>
    <w:rsid w:val="004C634D"/>
    <w:rsid w:val="004C6F18"/>
    <w:rsid w:val="004C70FC"/>
    <w:rsid w:val="004D022C"/>
    <w:rsid w:val="004D0F55"/>
    <w:rsid w:val="004D146A"/>
    <w:rsid w:val="004D1FF0"/>
    <w:rsid w:val="004D2675"/>
    <w:rsid w:val="004D3BC5"/>
    <w:rsid w:val="004D4080"/>
    <w:rsid w:val="004D42EA"/>
    <w:rsid w:val="004D434B"/>
    <w:rsid w:val="004D453A"/>
    <w:rsid w:val="004D462C"/>
    <w:rsid w:val="004D4B0C"/>
    <w:rsid w:val="004D4D55"/>
    <w:rsid w:val="004D4E81"/>
    <w:rsid w:val="004D664B"/>
    <w:rsid w:val="004D6871"/>
    <w:rsid w:val="004D6B7E"/>
    <w:rsid w:val="004D75D9"/>
    <w:rsid w:val="004D7602"/>
    <w:rsid w:val="004E050D"/>
    <w:rsid w:val="004E05FD"/>
    <w:rsid w:val="004E1A0D"/>
    <w:rsid w:val="004E21DC"/>
    <w:rsid w:val="004E23F5"/>
    <w:rsid w:val="004E2910"/>
    <w:rsid w:val="004E2A5A"/>
    <w:rsid w:val="004E3084"/>
    <w:rsid w:val="004E448A"/>
    <w:rsid w:val="004E4694"/>
    <w:rsid w:val="004E5418"/>
    <w:rsid w:val="004E60DD"/>
    <w:rsid w:val="004E63E5"/>
    <w:rsid w:val="004E68D0"/>
    <w:rsid w:val="004E6A47"/>
    <w:rsid w:val="004E6AC2"/>
    <w:rsid w:val="004E6B75"/>
    <w:rsid w:val="004E6B76"/>
    <w:rsid w:val="004E796D"/>
    <w:rsid w:val="004E7F40"/>
    <w:rsid w:val="004F084F"/>
    <w:rsid w:val="004F0D37"/>
    <w:rsid w:val="004F1016"/>
    <w:rsid w:val="004F12F7"/>
    <w:rsid w:val="004F13C9"/>
    <w:rsid w:val="004F1437"/>
    <w:rsid w:val="004F1A9D"/>
    <w:rsid w:val="004F2AFA"/>
    <w:rsid w:val="004F3540"/>
    <w:rsid w:val="004F37EF"/>
    <w:rsid w:val="004F3C6E"/>
    <w:rsid w:val="004F494C"/>
    <w:rsid w:val="004F52DB"/>
    <w:rsid w:val="004F5502"/>
    <w:rsid w:val="004F5624"/>
    <w:rsid w:val="004F5BBA"/>
    <w:rsid w:val="004F5DA4"/>
    <w:rsid w:val="004F5F11"/>
    <w:rsid w:val="004F62B2"/>
    <w:rsid w:val="004F6424"/>
    <w:rsid w:val="004F6A93"/>
    <w:rsid w:val="004F6FD5"/>
    <w:rsid w:val="005002A2"/>
    <w:rsid w:val="0050063C"/>
    <w:rsid w:val="005013F1"/>
    <w:rsid w:val="00501694"/>
    <w:rsid w:val="0050171E"/>
    <w:rsid w:val="00501F5C"/>
    <w:rsid w:val="00502E1C"/>
    <w:rsid w:val="00502EDE"/>
    <w:rsid w:val="00503655"/>
    <w:rsid w:val="005040CD"/>
    <w:rsid w:val="00504229"/>
    <w:rsid w:val="00505229"/>
    <w:rsid w:val="00506241"/>
    <w:rsid w:val="005062C4"/>
    <w:rsid w:val="00507F98"/>
    <w:rsid w:val="00510840"/>
    <w:rsid w:val="005108A3"/>
    <w:rsid w:val="00510DB5"/>
    <w:rsid w:val="00510F6E"/>
    <w:rsid w:val="0051141F"/>
    <w:rsid w:val="00511422"/>
    <w:rsid w:val="005118AE"/>
    <w:rsid w:val="0051212F"/>
    <w:rsid w:val="005123AE"/>
    <w:rsid w:val="00513BF7"/>
    <w:rsid w:val="005140FD"/>
    <w:rsid w:val="00514627"/>
    <w:rsid w:val="0051587A"/>
    <w:rsid w:val="005158FA"/>
    <w:rsid w:val="005169AD"/>
    <w:rsid w:val="0051714D"/>
    <w:rsid w:val="00517232"/>
    <w:rsid w:val="005202E5"/>
    <w:rsid w:val="005208B9"/>
    <w:rsid w:val="0052091A"/>
    <w:rsid w:val="00520FDD"/>
    <w:rsid w:val="00521BD9"/>
    <w:rsid w:val="00521D33"/>
    <w:rsid w:val="00522156"/>
    <w:rsid w:val="005221F0"/>
    <w:rsid w:val="00522A70"/>
    <w:rsid w:val="005235F2"/>
    <w:rsid w:val="005236BD"/>
    <w:rsid w:val="005240ED"/>
    <w:rsid w:val="0052478E"/>
    <w:rsid w:val="00524807"/>
    <w:rsid w:val="00524902"/>
    <w:rsid w:val="005252FE"/>
    <w:rsid w:val="005257A1"/>
    <w:rsid w:val="00525964"/>
    <w:rsid w:val="00525CF4"/>
    <w:rsid w:val="00525FF9"/>
    <w:rsid w:val="005266F8"/>
    <w:rsid w:val="00526924"/>
    <w:rsid w:val="005270F1"/>
    <w:rsid w:val="0052725C"/>
    <w:rsid w:val="00527E46"/>
    <w:rsid w:val="005309AF"/>
    <w:rsid w:val="00530B76"/>
    <w:rsid w:val="00530C4A"/>
    <w:rsid w:val="00531091"/>
    <w:rsid w:val="00531344"/>
    <w:rsid w:val="00531479"/>
    <w:rsid w:val="00531A3E"/>
    <w:rsid w:val="00532026"/>
    <w:rsid w:val="0053267D"/>
    <w:rsid w:val="005328F3"/>
    <w:rsid w:val="00532C41"/>
    <w:rsid w:val="00532D3F"/>
    <w:rsid w:val="00533172"/>
    <w:rsid w:val="0053367C"/>
    <w:rsid w:val="0053386D"/>
    <w:rsid w:val="00533EF4"/>
    <w:rsid w:val="00534700"/>
    <w:rsid w:val="00534C27"/>
    <w:rsid w:val="00534CA8"/>
    <w:rsid w:val="00535B54"/>
    <w:rsid w:val="00536809"/>
    <w:rsid w:val="00536AB0"/>
    <w:rsid w:val="00536D23"/>
    <w:rsid w:val="0053791F"/>
    <w:rsid w:val="0054002F"/>
    <w:rsid w:val="0054139C"/>
    <w:rsid w:val="005416A2"/>
    <w:rsid w:val="0054197A"/>
    <w:rsid w:val="00541BDA"/>
    <w:rsid w:val="0054319B"/>
    <w:rsid w:val="00543664"/>
    <w:rsid w:val="00544535"/>
    <w:rsid w:val="0054498B"/>
    <w:rsid w:val="00545111"/>
    <w:rsid w:val="00545195"/>
    <w:rsid w:val="005459AC"/>
    <w:rsid w:val="00545F03"/>
    <w:rsid w:val="005463FE"/>
    <w:rsid w:val="00546622"/>
    <w:rsid w:val="005469D6"/>
    <w:rsid w:val="00547538"/>
    <w:rsid w:val="005476A8"/>
    <w:rsid w:val="00547BBC"/>
    <w:rsid w:val="00550219"/>
    <w:rsid w:val="00550735"/>
    <w:rsid w:val="00550E53"/>
    <w:rsid w:val="00552766"/>
    <w:rsid w:val="00552CB6"/>
    <w:rsid w:val="005531EC"/>
    <w:rsid w:val="0055361D"/>
    <w:rsid w:val="00553B9E"/>
    <w:rsid w:val="00553BB6"/>
    <w:rsid w:val="00553BFA"/>
    <w:rsid w:val="00553D31"/>
    <w:rsid w:val="00554D05"/>
    <w:rsid w:val="0055596B"/>
    <w:rsid w:val="00556379"/>
    <w:rsid w:val="00556D8A"/>
    <w:rsid w:val="0055709C"/>
    <w:rsid w:val="00557189"/>
    <w:rsid w:val="005574AA"/>
    <w:rsid w:val="00560488"/>
    <w:rsid w:val="0056077E"/>
    <w:rsid w:val="00560EDA"/>
    <w:rsid w:val="00560FAB"/>
    <w:rsid w:val="00560FD3"/>
    <w:rsid w:val="00561D68"/>
    <w:rsid w:val="00561D70"/>
    <w:rsid w:val="005629EE"/>
    <w:rsid w:val="005648FA"/>
    <w:rsid w:val="00564D50"/>
    <w:rsid w:val="0056533B"/>
    <w:rsid w:val="00565D15"/>
    <w:rsid w:val="005669BC"/>
    <w:rsid w:val="00567346"/>
    <w:rsid w:val="00567C01"/>
    <w:rsid w:val="005708CC"/>
    <w:rsid w:val="00570DEE"/>
    <w:rsid w:val="005712AE"/>
    <w:rsid w:val="00571616"/>
    <w:rsid w:val="0057187F"/>
    <w:rsid w:val="00571B89"/>
    <w:rsid w:val="00571DEB"/>
    <w:rsid w:val="00572579"/>
    <w:rsid w:val="00572A65"/>
    <w:rsid w:val="00572D61"/>
    <w:rsid w:val="00572F20"/>
    <w:rsid w:val="00572FDC"/>
    <w:rsid w:val="005731CA"/>
    <w:rsid w:val="0057371B"/>
    <w:rsid w:val="00574199"/>
    <w:rsid w:val="00574242"/>
    <w:rsid w:val="00574C06"/>
    <w:rsid w:val="00575138"/>
    <w:rsid w:val="00575EB8"/>
    <w:rsid w:val="0057613A"/>
    <w:rsid w:val="00580752"/>
    <w:rsid w:val="00580A1C"/>
    <w:rsid w:val="00580AA0"/>
    <w:rsid w:val="00581457"/>
    <w:rsid w:val="00582A9B"/>
    <w:rsid w:val="005832AB"/>
    <w:rsid w:val="0058338A"/>
    <w:rsid w:val="0058437C"/>
    <w:rsid w:val="00584FD1"/>
    <w:rsid w:val="00585B70"/>
    <w:rsid w:val="0058638E"/>
    <w:rsid w:val="005871B1"/>
    <w:rsid w:val="00587479"/>
    <w:rsid w:val="00587835"/>
    <w:rsid w:val="005908E5"/>
    <w:rsid w:val="00590F46"/>
    <w:rsid w:val="0059267C"/>
    <w:rsid w:val="00592A97"/>
    <w:rsid w:val="005931D8"/>
    <w:rsid w:val="00593483"/>
    <w:rsid w:val="005935BC"/>
    <w:rsid w:val="005935F4"/>
    <w:rsid w:val="00593BC4"/>
    <w:rsid w:val="00593E0A"/>
    <w:rsid w:val="00594267"/>
    <w:rsid w:val="00594557"/>
    <w:rsid w:val="0059569B"/>
    <w:rsid w:val="00595B1B"/>
    <w:rsid w:val="0059724F"/>
    <w:rsid w:val="0059739D"/>
    <w:rsid w:val="005A0E28"/>
    <w:rsid w:val="005A1084"/>
    <w:rsid w:val="005A154F"/>
    <w:rsid w:val="005A167F"/>
    <w:rsid w:val="005A24F9"/>
    <w:rsid w:val="005A2AB7"/>
    <w:rsid w:val="005A2F2E"/>
    <w:rsid w:val="005A3285"/>
    <w:rsid w:val="005A346E"/>
    <w:rsid w:val="005A4A63"/>
    <w:rsid w:val="005A4CA5"/>
    <w:rsid w:val="005A5285"/>
    <w:rsid w:val="005A5721"/>
    <w:rsid w:val="005A67BF"/>
    <w:rsid w:val="005A73CF"/>
    <w:rsid w:val="005A7404"/>
    <w:rsid w:val="005B0048"/>
    <w:rsid w:val="005B065D"/>
    <w:rsid w:val="005B12B2"/>
    <w:rsid w:val="005B1367"/>
    <w:rsid w:val="005B1FC3"/>
    <w:rsid w:val="005B342B"/>
    <w:rsid w:val="005B379F"/>
    <w:rsid w:val="005B3EB1"/>
    <w:rsid w:val="005B3F6F"/>
    <w:rsid w:val="005B3FA1"/>
    <w:rsid w:val="005B47E7"/>
    <w:rsid w:val="005B4B23"/>
    <w:rsid w:val="005B4DB9"/>
    <w:rsid w:val="005B521A"/>
    <w:rsid w:val="005B5C3A"/>
    <w:rsid w:val="005B6460"/>
    <w:rsid w:val="005B7885"/>
    <w:rsid w:val="005B798B"/>
    <w:rsid w:val="005C099B"/>
    <w:rsid w:val="005C11EA"/>
    <w:rsid w:val="005C19BD"/>
    <w:rsid w:val="005C1FAE"/>
    <w:rsid w:val="005C2017"/>
    <w:rsid w:val="005C39E8"/>
    <w:rsid w:val="005C3CD0"/>
    <w:rsid w:val="005C46CA"/>
    <w:rsid w:val="005C48EC"/>
    <w:rsid w:val="005C49D0"/>
    <w:rsid w:val="005C4EEC"/>
    <w:rsid w:val="005C4F4E"/>
    <w:rsid w:val="005C54A8"/>
    <w:rsid w:val="005C5660"/>
    <w:rsid w:val="005C607A"/>
    <w:rsid w:val="005C61F3"/>
    <w:rsid w:val="005C66EE"/>
    <w:rsid w:val="005C71E4"/>
    <w:rsid w:val="005C72E3"/>
    <w:rsid w:val="005C77AC"/>
    <w:rsid w:val="005D0948"/>
    <w:rsid w:val="005D11B2"/>
    <w:rsid w:val="005D140B"/>
    <w:rsid w:val="005D32AC"/>
    <w:rsid w:val="005D348F"/>
    <w:rsid w:val="005D3517"/>
    <w:rsid w:val="005D3AAA"/>
    <w:rsid w:val="005D3F1E"/>
    <w:rsid w:val="005D435B"/>
    <w:rsid w:val="005D48AC"/>
    <w:rsid w:val="005D4B68"/>
    <w:rsid w:val="005D5451"/>
    <w:rsid w:val="005D5DB3"/>
    <w:rsid w:val="005D6A22"/>
    <w:rsid w:val="005D6E92"/>
    <w:rsid w:val="005D73DD"/>
    <w:rsid w:val="005D78CE"/>
    <w:rsid w:val="005D7BB9"/>
    <w:rsid w:val="005D7F84"/>
    <w:rsid w:val="005E010F"/>
    <w:rsid w:val="005E079C"/>
    <w:rsid w:val="005E103F"/>
    <w:rsid w:val="005E11C1"/>
    <w:rsid w:val="005E1D21"/>
    <w:rsid w:val="005E1D39"/>
    <w:rsid w:val="005E2465"/>
    <w:rsid w:val="005E2563"/>
    <w:rsid w:val="005E279A"/>
    <w:rsid w:val="005E353F"/>
    <w:rsid w:val="005E356D"/>
    <w:rsid w:val="005E394C"/>
    <w:rsid w:val="005E3BA1"/>
    <w:rsid w:val="005E42BF"/>
    <w:rsid w:val="005E478A"/>
    <w:rsid w:val="005E4ABD"/>
    <w:rsid w:val="005E4D50"/>
    <w:rsid w:val="005E4E70"/>
    <w:rsid w:val="005E507F"/>
    <w:rsid w:val="005E622D"/>
    <w:rsid w:val="005E65BB"/>
    <w:rsid w:val="005E7ECC"/>
    <w:rsid w:val="005F0164"/>
    <w:rsid w:val="005F0ADA"/>
    <w:rsid w:val="005F0CEF"/>
    <w:rsid w:val="005F0DA0"/>
    <w:rsid w:val="005F0F30"/>
    <w:rsid w:val="005F235A"/>
    <w:rsid w:val="005F2767"/>
    <w:rsid w:val="005F4425"/>
    <w:rsid w:val="005F4790"/>
    <w:rsid w:val="005F487B"/>
    <w:rsid w:val="005F4914"/>
    <w:rsid w:val="005F5A1F"/>
    <w:rsid w:val="005F5C3E"/>
    <w:rsid w:val="005F62B7"/>
    <w:rsid w:val="005F67FC"/>
    <w:rsid w:val="005F6869"/>
    <w:rsid w:val="005F6BB9"/>
    <w:rsid w:val="005F6E69"/>
    <w:rsid w:val="005F6EA2"/>
    <w:rsid w:val="005F72F2"/>
    <w:rsid w:val="005F733D"/>
    <w:rsid w:val="006001AE"/>
    <w:rsid w:val="00600997"/>
    <w:rsid w:val="00601057"/>
    <w:rsid w:val="006016DA"/>
    <w:rsid w:val="0060189E"/>
    <w:rsid w:val="00601B8A"/>
    <w:rsid w:val="00601F26"/>
    <w:rsid w:val="00602211"/>
    <w:rsid w:val="006022F0"/>
    <w:rsid w:val="00603148"/>
    <w:rsid w:val="00603750"/>
    <w:rsid w:val="0060385E"/>
    <w:rsid w:val="0060395C"/>
    <w:rsid w:val="00603E83"/>
    <w:rsid w:val="0060435B"/>
    <w:rsid w:val="00604BCF"/>
    <w:rsid w:val="00604EC0"/>
    <w:rsid w:val="006052E4"/>
    <w:rsid w:val="0060551F"/>
    <w:rsid w:val="0060668E"/>
    <w:rsid w:val="006069F9"/>
    <w:rsid w:val="00606FC7"/>
    <w:rsid w:val="006072CB"/>
    <w:rsid w:val="006103A9"/>
    <w:rsid w:val="00610456"/>
    <w:rsid w:val="00610F61"/>
    <w:rsid w:val="00611473"/>
    <w:rsid w:val="00611AB7"/>
    <w:rsid w:val="00611B36"/>
    <w:rsid w:val="0061369D"/>
    <w:rsid w:val="006136E9"/>
    <w:rsid w:val="00613A34"/>
    <w:rsid w:val="0061419D"/>
    <w:rsid w:val="006147F2"/>
    <w:rsid w:val="00614ECC"/>
    <w:rsid w:val="00614F3F"/>
    <w:rsid w:val="00615ADA"/>
    <w:rsid w:val="0061642E"/>
    <w:rsid w:val="00616FF2"/>
    <w:rsid w:val="00617362"/>
    <w:rsid w:val="006178C5"/>
    <w:rsid w:val="006205D5"/>
    <w:rsid w:val="00620F5B"/>
    <w:rsid w:val="00620F5D"/>
    <w:rsid w:val="00621958"/>
    <w:rsid w:val="00621963"/>
    <w:rsid w:val="0062201D"/>
    <w:rsid w:val="006221CD"/>
    <w:rsid w:val="00622220"/>
    <w:rsid w:val="006227CD"/>
    <w:rsid w:val="00622818"/>
    <w:rsid w:val="00622F64"/>
    <w:rsid w:val="0062301E"/>
    <w:rsid w:val="00623CF2"/>
    <w:rsid w:val="00623E95"/>
    <w:rsid w:val="0062430D"/>
    <w:rsid w:val="006266A9"/>
    <w:rsid w:val="00626A63"/>
    <w:rsid w:val="00630064"/>
    <w:rsid w:val="006301CC"/>
    <w:rsid w:val="00630426"/>
    <w:rsid w:val="006316C1"/>
    <w:rsid w:val="00631ED4"/>
    <w:rsid w:val="006322EE"/>
    <w:rsid w:val="00633BC7"/>
    <w:rsid w:val="00634A68"/>
    <w:rsid w:val="00635256"/>
    <w:rsid w:val="00635AC7"/>
    <w:rsid w:val="00635E9C"/>
    <w:rsid w:val="00636B32"/>
    <w:rsid w:val="00637368"/>
    <w:rsid w:val="0063753F"/>
    <w:rsid w:val="0063775A"/>
    <w:rsid w:val="00637B41"/>
    <w:rsid w:val="00637B8E"/>
    <w:rsid w:val="00637EE8"/>
    <w:rsid w:val="006402D9"/>
    <w:rsid w:val="00640975"/>
    <w:rsid w:val="006414EE"/>
    <w:rsid w:val="00641CEB"/>
    <w:rsid w:val="00642524"/>
    <w:rsid w:val="00642D0A"/>
    <w:rsid w:val="00642E4D"/>
    <w:rsid w:val="0064404F"/>
    <w:rsid w:val="006441CC"/>
    <w:rsid w:val="00644374"/>
    <w:rsid w:val="006444EE"/>
    <w:rsid w:val="006447A0"/>
    <w:rsid w:val="0064545D"/>
    <w:rsid w:val="006462B8"/>
    <w:rsid w:val="0064630E"/>
    <w:rsid w:val="00646518"/>
    <w:rsid w:val="00646FE1"/>
    <w:rsid w:val="00647075"/>
    <w:rsid w:val="006470AB"/>
    <w:rsid w:val="006470F1"/>
    <w:rsid w:val="00647BED"/>
    <w:rsid w:val="00650F00"/>
    <w:rsid w:val="00652065"/>
    <w:rsid w:val="00653095"/>
    <w:rsid w:val="006540CB"/>
    <w:rsid w:val="00654E92"/>
    <w:rsid w:val="00655396"/>
    <w:rsid w:val="0065581D"/>
    <w:rsid w:val="00655C2F"/>
    <w:rsid w:val="00655E5B"/>
    <w:rsid w:val="0065614C"/>
    <w:rsid w:val="006561A1"/>
    <w:rsid w:val="0065632B"/>
    <w:rsid w:val="00656BCF"/>
    <w:rsid w:val="00656E8A"/>
    <w:rsid w:val="00657FDF"/>
    <w:rsid w:val="006600FC"/>
    <w:rsid w:val="00660403"/>
    <w:rsid w:val="00660EC7"/>
    <w:rsid w:val="0066108C"/>
    <w:rsid w:val="00661140"/>
    <w:rsid w:val="0066180C"/>
    <w:rsid w:val="00663269"/>
    <w:rsid w:val="00663684"/>
    <w:rsid w:val="00663EB9"/>
    <w:rsid w:val="00664434"/>
    <w:rsid w:val="0066465C"/>
    <w:rsid w:val="00664C83"/>
    <w:rsid w:val="00665578"/>
    <w:rsid w:val="00666220"/>
    <w:rsid w:val="0066702F"/>
    <w:rsid w:val="00667284"/>
    <w:rsid w:val="00667FCF"/>
    <w:rsid w:val="0067014E"/>
    <w:rsid w:val="00670827"/>
    <w:rsid w:val="00670910"/>
    <w:rsid w:val="006710DD"/>
    <w:rsid w:val="00671CAC"/>
    <w:rsid w:val="00671FC9"/>
    <w:rsid w:val="00672065"/>
    <w:rsid w:val="00672207"/>
    <w:rsid w:val="0067310D"/>
    <w:rsid w:val="00673200"/>
    <w:rsid w:val="00673307"/>
    <w:rsid w:val="006740F9"/>
    <w:rsid w:val="0067501E"/>
    <w:rsid w:val="00675333"/>
    <w:rsid w:val="0067536E"/>
    <w:rsid w:val="0067565D"/>
    <w:rsid w:val="00676C21"/>
    <w:rsid w:val="00676E0D"/>
    <w:rsid w:val="006773D2"/>
    <w:rsid w:val="00677429"/>
    <w:rsid w:val="00680581"/>
    <w:rsid w:val="00680837"/>
    <w:rsid w:val="00680A56"/>
    <w:rsid w:val="00681300"/>
    <w:rsid w:val="00681344"/>
    <w:rsid w:val="006813BB"/>
    <w:rsid w:val="00681A41"/>
    <w:rsid w:val="006821B2"/>
    <w:rsid w:val="00682C81"/>
    <w:rsid w:val="006832E7"/>
    <w:rsid w:val="006837AE"/>
    <w:rsid w:val="006838C0"/>
    <w:rsid w:val="00684C64"/>
    <w:rsid w:val="00684DDC"/>
    <w:rsid w:val="00685856"/>
    <w:rsid w:val="00685901"/>
    <w:rsid w:val="00685BB9"/>
    <w:rsid w:val="00687595"/>
    <w:rsid w:val="00687E06"/>
    <w:rsid w:val="00690127"/>
    <w:rsid w:val="006906CE"/>
    <w:rsid w:val="00690A45"/>
    <w:rsid w:val="00691BFF"/>
    <w:rsid w:val="006927F8"/>
    <w:rsid w:val="0069298B"/>
    <w:rsid w:val="00692B6C"/>
    <w:rsid w:val="00693B02"/>
    <w:rsid w:val="00694338"/>
    <w:rsid w:val="00694A2D"/>
    <w:rsid w:val="00694A86"/>
    <w:rsid w:val="00694DFA"/>
    <w:rsid w:val="00694E94"/>
    <w:rsid w:val="006952A4"/>
    <w:rsid w:val="006953C1"/>
    <w:rsid w:val="00695C40"/>
    <w:rsid w:val="006966AA"/>
    <w:rsid w:val="00696D74"/>
    <w:rsid w:val="00696EB2"/>
    <w:rsid w:val="006971EB"/>
    <w:rsid w:val="00697277"/>
    <w:rsid w:val="0069741A"/>
    <w:rsid w:val="006A0552"/>
    <w:rsid w:val="006A093B"/>
    <w:rsid w:val="006A0DEA"/>
    <w:rsid w:val="006A15B0"/>
    <w:rsid w:val="006A1663"/>
    <w:rsid w:val="006A16E9"/>
    <w:rsid w:val="006A2CC4"/>
    <w:rsid w:val="006A4273"/>
    <w:rsid w:val="006A4B61"/>
    <w:rsid w:val="006A4E72"/>
    <w:rsid w:val="006A5450"/>
    <w:rsid w:val="006A5715"/>
    <w:rsid w:val="006A7A99"/>
    <w:rsid w:val="006B0199"/>
    <w:rsid w:val="006B038A"/>
    <w:rsid w:val="006B095E"/>
    <w:rsid w:val="006B0A32"/>
    <w:rsid w:val="006B0BD8"/>
    <w:rsid w:val="006B27AC"/>
    <w:rsid w:val="006B2AA0"/>
    <w:rsid w:val="006B2ADC"/>
    <w:rsid w:val="006B4557"/>
    <w:rsid w:val="006B4ABD"/>
    <w:rsid w:val="006B4EB9"/>
    <w:rsid w:val="006B554D"/>
    <w:rsid w:val="006B70DB"/>
    <w:rsid w:val="006B73FA"/>
    <w:rsid w:val="006B7526"/>
    <w:rsid w:val="006B77D5"/>
    <w:rsid w:val="006B7C59"/>
    <w:rsid w:val="006C0251"/>
    <w:rsid w:val="006C02C5"/>
    <w:rsid w:val="006C0320"/>
    <w:rsid w:val="006C1617"/>
    <w:rsid w:val="006C2B9A"/>
    <w:rsid w:val="006C39BB"/>
    <w:rsid w:val="006C4502"/>
    <w:rsid w:val="006C4A05"/>
    <w:rsid w:val="006C58FB"/>
    <w:rsid w:val="006C5AF5"/>
    <w:rsid w:val="006C6114"/>
    <w:rsid w:val="006C6FB3"/>
    <w:rsid w:val="006C7156"/>
    <w:rsid w:val="006C7C73"/>
    <w:rsid w:val="006D01E0"/>
    <w:rsid w:val="006D0B3F"/>
    <w:rsid w:val="006D0C35"/>
    <w:rsid w:val="006D171D"/>
    <w:rsid w:val="006D210A"/>
    <w:rsid w:val="006D2288"/>
    <w:rsid w:val="006D272A"/>
    <w:rsid w:val="006D275E"/>
    <w:rsid w:val="006D2C71"/>
    <w:rsid w:val="006D36C1"/>
    <w:rsid w:val="006D3A66"/>
    <w:rsid w:val="006D3DFD"/>
    <w:rsid w:val="006D4464"/>
    <w:rsid w:val="006D58A5"/>
    <w:rsid w:val="006D5A96"/>
    <w:rsid w:val="006D5E91"/>
    <w:rsid w:val="006D6CB0"/>
    <w:rsid w:val="006D7E87"/>
    <w:rsid w:val="006E060C"/>
    <w:rsid w:val="006E0D9E"/>
    <w:rsid w:val="006E14E6"/>
    <w:rsid w:val="006E1AEE"/>
    <w:rsid w:val="006E25FD"/>
    <w:rsid w:val="006E26D0"/>
    <w:rsid w:val="006E27EA"/>
    <w:rsid w:val="006E2C93"/>
    <w:rsid w:val="006E2DD8"/>
    <w:rsid w:val="006E2F52"/>
    <w:rsid w:val="006E32A9"/>
    <w:rsid w:val="006E3B9C"/>
    <w:rsid w:val="006E4CA9"/>
    <w:rsid w:val="006E51A2"/>
    <w:rsid w:val="006E57EA"/>
    <w:rsid w:val="006E5FCD"/>
    <w:rsid w:val="006E7915"/>
    <w:rsid w:val="006E791A"/>
    <w:rsid w:val="006F00E4"/>
    <w:rsid w:val="006F07BD"/>
    <w:rsid w:val="006F07C2"/>
    <w:rsid w:val="006F08F1"/>
    <w:rsid w:val="006F09A3"/>
    <w:rsid w:val="006F0DE2"/>
    <w:rsid w:val="006F11BD"/>
    <w:rsid w:val="006F1404"/>
    <w:rsid w:val="006F1AA1"/>
    <w:rsid w:val="006F25B4"/>
    <w:rsid w:val="006F32C7"/>
    <w:rsid w:val="006F3392"/>
    <w:rsid w:val="006F3495"/>
    <w:rsid w:val="006F389E"/>
    <w:rsid w:val="006F38CA"/>
    <w:rsid w:val="006F417D"/>
    <w:rsid w:val="006F56A7"/>
    <w:rsid w:val="006F5BC6"/>
    <w:rsid w:val="006F5BD9"/>
    <w:rsid w:val="006F5C83"/>
    <w:rsid w:val="006F5C8A"/>
    <w:rsid w:val="006F67CC"/>
    <w:rsid w:val="006F6B89"/>
    <w:rsid w:val="006F6D62"/>
    <w:rsid w:val="00700F00"/>
    <w:rsid w:val="007017BB"/>
    <w:rsid w:val="00701C2D"/>
    <w:rsid w:val="00701C7E"/>
    <w:rsid w:val="00702162"/>
    <w:rsid w:val="00702308"/>
    <w:rsid w:val="00702340"/>
    <w:rsid w:val="0070279E"/>
    <w:rsid w:val="00702ADA"/>
    <w:rsid w:val="00702E75"/>
    <w:rsid w:val="00703863"/>
    <w:rsid w:val="00703930"/>
    <w:rsid w:val="00703D06"/>
    <w:rsid w:val="007045A5"/>
    <w:rsid w:val="00704993"/>
    <w:rsid w:val="00704D8C"/>
    <w:rsid w:val="007057A8"/>
    <w:rsid w:val="0070610E"/>
    <w:rsid w:val="0070611C"/>
    <w:rsid w:val="0070721B"/>
    <w:rsid w:val="007072FC"/>
    <w:rsid w:val="007076BD"/>
    <w:rsid w:val="00707722"/>
    <w:rsid w:val="00707759"/>
    <w:rsid w:val="00707DB8"/>
    <w:rsid w:val="00710081"/>
    <w:rsid w:val="00710B0D"/>
    <w:rsid w:val="00710F66"/>
    <w:rsid w:val="00711B73"/>
    <w:rsid w:val="007121F2"/>
    <w:rsid w:val="00712321"/>
    <w:rsid w:val="007123E8"/>
    <w:rsid w:val="007126EC"/>
    <w:rsid w:val="00712C8A"/>
    <w:rsid w:val="00712E9D"/>
    <w:rsid w:val="00713201"/>
    <w:rsid w:val="00713CB5"/>
    <w:rsid w:val="00714E3F"/>
    <w:rsid w:val="0071558B"/>
    <w:rsid w:val="007155BF"/>
    <w:rsid w:val="007155C4"/>
    <w:rsid w:val="00715660"/>
    <w:rsid w:val="00715DDF"/>
    <w:rsid w:val="007160B2"/>
    <w:rsid w:val="00716C38"/>
    <w:rsid w:val="00716EC2"/>
    <w:rsid w:val="0071776A"/>
    <w:rsid w:val="00717EED"/>
    <w:rsid w:val="00717FEB"/>
    <w:rsid w:val="00721189"/>
    <w:rsid w:val="00721879"/>
    <w:rsid w:val="00721B6D"/>
    <w:rsid w:val="007221C3"/>
    <w:rsid w:val="007227E4"/>
    <w:rsid w:val="007228A0"/>
    <w:rsid w:val="00722A9C"/>
    <w:rsid w:val="00722F2C"/>
    <w:rsid w:val="00723029"/>
    <w:rsid w:val="00723042"/>
    <w:rsid w:val="0072348B"/>
    <w:rsid w:val="00724150"/>
    <w:rsid w:val="0072518B"/>
    <w:rsid w:val="007254D1"/>
    <w:rsid w:val="00725B32"/>
    <w:rsid w:val="00725B3C"/>
    <w:rsid w:val="007269DB"/>
    <w:rsid w:val="00726CDD"/>
    <w:rsid w:val="00727309"/>
    <w:rsid w:val="00727412"/>
    <w:rsid w:val="007300FB"/>
    <w:rsid w:val="007307BE"/>
    <w:rsid w:val="00730A6B"/>
    <w:rsid w:val="00730A6C"/>
    <w:rsid w:val="0073128A"/>
    <w:rsid w:val="00731FCB"/>
    <w:rsid w:val="0073241A"/>
    <w:rsid w:val="007337A3"/>
    <w:rsid w:val="00733D54"/>
    <w:rsid w:val="007341BF"/>
    <w:rsid w:val="00734CEE"/>
    <w:rsid w:val="00734F5D"/>
    <w:rsid w:val="00735270"/>
    <w:rsid w:val="007355FA"/>
    <w:rsid w:val="007357CD"/>
    <w:rsid w:val="00736A4F"/>
    <w:rsid w:val="00736E80"/>
    <w:rsid w:val="0073718B"/>
    <w:rsid w:val="00737753"/>
    <w:rsid w:val="00737768"/>
    <w:rsid w:val="00737B04"/>
    <w:rsid w:val="00737DF8"/>
    <w:rsid w:val="00737FFA"/>
    <w:rsid w:val="0074040F"/>
    <w:rsid w:val="00740BB8"/>
    <w:rsid w:val="00740CE9"/>
    <w:rsid w:val="00741101"/>
    <w:rsid w:val="0074196E"/>
    <w:rsid w:val="007427FC"/>
    <w:rsid w:val="007428E3"/>
    <w:rsid w:val="0074386B"/>
    <w:rsid w:val="0074394E"/>
    <w:rsid w:val="0074422D"/>
    <w:rsid w:val="007447E0"/>
    <w:rsid w:val="00745007"/>
    <w:rsid w:val="007450D5"/>
    <w:rsid w:val="007458E5"/>
    <w:rsid w:val="0074595B"/>
    <w:rsid w:val="00745E33"/>
    <w:rsid w:val="00747B79"/>
    <w:rsid w:val="00750229"/>
    <w:rsid w:val="00750C9A"/>
    <w:rsid w:val="00750D0A"/>
    <w:rsid w:val="0075115D"/>
    <w:rsid w:val="007518D0"/>
    <w:rsid w:val="00751D93"/>
    <w:rsid w:val="00752300"/>
    <w:rsid w:val="00752390"/>
    <w:rsid w:val="00752983"/>
    <w:rsid w:val="00753B74"/>
    <w:rsid w:val="00753BF5"/>
    <w:rsid w:val="007546C0"/>
    <w:rsid w:val="007546F8"/>
    <w:rsid w:val="00754747"/>
    <w:rsid w:val="00754A93"/>
    <w:rsid w:val="0075579B"/>
    <w:rsid w:val="00755BAB"/>
    <w:rsid w:val="00756EE8"/>
    <w:rsid w:val="00757D01"/>
    <w:rsid w:val="0076080E"/>
    <w:rsid w:val="00761197"/>
    <w:rsid w:val="00762BE2"/>
    <w:rsid w:val="00762E52"/>
    <w:rsid w:val="007634AC"/>
    <w:rsid w:val="00763659"/>
    <w:rsid w:val="0076411D"/>
    <w:rsid w:val="00764BD0"/>
    <w:rsid w:val="00764EF0"/>
    <w:rsid w:val="00765BEA"/>
    <w:rsid w:val="00766848"/>
    <w:rsid w:val="007670F8"/>
    <w:rsid w:val="007671D4"/>
    <w:rsid w:val="00767385"/>
    <w:rsid w:val="00767D8E"/>
    <w:rsid w:val="0077049E"/>
    <w:rsid w:val="00770678"/>
    <w:rsid w:val="00770A85"/>
    <w:rsid w:val="00771586"/>
    <w:rsid w:val="00771635"/>
    <w:rsid w:val="00772449"/>
    <w:rsid w:val="00772E23"/>
    <w:rsid w:val="0077325F"/>
    <w:rsid w:val="00773DC9"/>
    <w:rsid w:val="007754DC"/>
    <w:rsid w:val="0077572E"/>
    <w:rsid w:val="007776F4"/>
    <w:rsid w:val="007778D0"/>
    <w:rsid w:val="00777BE4"/>
    <w:rsid w:val="0078031B"/>
    <w:rsid w:val="00780764"/>
    <w:rsid w:val="00780A17"/>
    <w:rsid w:val="00782037"/>
    <w:rsid w:val="007824E3"/>
    <w:rsid w:val="00783EF9"/>
    <w:rsid w:val="00784F44"/>
    <w:rsid w:val="0078504E"/>
    <w:rsid w:val="00785A9A"/>
    <w:rsid w:val="00785CCE"/>
    <w:rsid w:val="00786672"/>
    <w:rsid w:val="007870BF"/>
    <w:rsid w:val="007872CF"/>
    <w:rsid w:val="007874BB"/>
    <w:rsid w:val="00787F4B"/>
    <w:rsid w:val="00790042"/>
    <w:rsid w:val="00790171"/>
    <w:rsid w:val="007905C1"/>
    <w:rsid w:val="007906A1"/>
    <w:rsid w:val="007909AD"/>
    <w:rsid w:val="00791918"/>
    <w:rsid w:val="0079201C"/>
    <w:rsid w:val="00792B2A"/>
    <w:rsid w:val="00792FB1"/>
    <w:rsid w:val="0079307F"/>
    <w:rsid w:val="00793315"/>
    <w:rsid w:val="0079346F"/>
    <w:rsid w:val="00794014"/>
    <w:rsid w:val="007940C5"/>
    <w:rsid w:val="007947C4"/>
    <w:rsid w:val="0079480E"/>
    <w:rsid w:val="00795812"/>
    <w:rsid w:val="00795CB8"/>
    <w:rsid w:val="00795CE1"/>
    <w:rsid w:val="007965FD"/>
    <w:rsid w:val="00796904"/>
    <w:rsid w:val="00797784"/>
    <w:rsid w:val="00797A68"/>
    <w:rsid w:val="007A00B8"/>
    <w:rsid w:val="007A0646"/>
    <w:rsid w:val="007A06AC"/>
    <w:rsid w:val="007A1898"/>
    <w:rsid w:val="007A1B2F"/>
    <w:rsid w:val="007A1C2F"/>
    <w:rsid w:val="007A2380"/>
    <w:rsid w:val="007A2FB6"/>
    <w:rsid w:val="007A305B"/>
    <w:rsid w:val="007A3700"/>
    <w:rsid w:val="007A3EA4"/>
    <w:rsid w:val="007A4636"/>
    <w:rsid w:val="007A50A9"/>
    <w:rsid w:val="007A55B9"/>
    <w:rsid w:val="007A5719"/>
    <w:rsid w:val="007A5E55"/>
    <w:rsid w:val="007A64AC"/>
    <w:rsid w:val="007A64C3"/>
    <w:rsid w:val="007A6913"/>
    <w:rsid w:val="007A7377"/>
    <w:rsid w:val="007A7BD9"/>
    <w:rsid w:val="007B054C"/>
    <w:rsid w:val="007B08AC"/>
    <w:rsid w:val="007B0F2C"/>
    <w:rsid w:val="007B1014"/>
    <w:rsid w:val="007B103F"/>
    <w:rsid w:val="007B11F3"/>
    <w:rsid w:val="007B1484"/>
    <w:rsid w:val="007B1A10"/>
    <w:rsid w:val="007B1C62"/>
    <w:rsid w:val="007B307B"/>
    <w:rsid w:val="007B31AB"/>
    <w:rsid w:val="007B3268"/>
    <w:rsid w:val="007B37F1"/>
    <w:rsid w:val="007B3AF6"/>
    <w:rsid w:val="007B42D3"/>
    <w:rsid w:val="007B46D9"/>
    <w:rsid w:val="007B474F"/>
    <w:rsid w:val="007B62E9"/>
    <w:rsid w:val="007B6659"/>
    <w:rsid w:val="007B66B4"/>
    <w:rsid w:val="007B6C39"/>
    <w:rsid w:val="007B76AB"/>
    <w:rsid w:val="007B7DBD"/>
    <w:rsid w:val="007B7E7D"/>
    <w:rsid w:val="007B7FE6"/>
    <w:rsid w:val="007C09EA"/>
    <w:rsid w:val="007C1DA7"/>
    <w:rsid w:val="007C216F"/>
    <w:rsid w:val="007C25DC"/>
    <w:rsid w:val="007C25E3"/>
    <w:rsid w:val="007C264B"/>
    <w:rsid w:val="007C2AFC"/>
    <w:rsid w:val="007C3105"/>
    <w:rsid w:val="007C3E64"/>
    <w:rsid w:val="007C45D3"/>
    <w:rsid w:val="007C597B"/>
    <w:rsid w:val="007C65AD"/>
    <w:rsid w:val="007C6884"/>
    <w:rsid w:val="007C7191"/>
    <w:rsid w:val="007C74F1"/>
    <w:rsid w:val="007C760C"/>
    <w:rsid w:val="007C7CC4"/>
    <w:rsid w:val="007D08FD"/>
    <w:rsid w:val="007D10A1"/>
    <w:rsid w:val="007D137C"/>
    <w:rsid w:val="007D1584"/>
    <w:rsid w:val="007D1B7B"/>
    <w:rsid w:val="007D2044"/>
    <w:rsid w:val="007D213A"/>
    <w:rsid w:val="007D2594"/>
    <w:rsid w:val="007D32FF"/>
    <w:rsid w:val="007D3643"/>
    <w:rsid w:val="007D3891"/>
    <w:rsid w:val="007D4F33"/>
    <w:rsid w:val="007D5140"/>
    <w:rsid w:val="007D554B"/>
    <w:rsid w:val="007D59F3"/>
    <w:rsid w:val="007D65C7"/>
    <w:rsid w:val="007D74D2"/>
    <w:rsid w:val="007D79B5"/>
    <w:rsid w:val="007D7D3C"/>
    <w:rsid w:val="007E0E15"/>
    <w:rsid w:val="007E0E2A"/>
    <w:rsid w:val="007E2334"/>
    <w:rsid w:val="007E23CE"/>
    <w:rsid w:val="007E2CE7"/>
    <w:rsid w:val="007E34A4"/>
    <w:rsid w:val="007E43D0"/>
    <w:rsid w:val="007E43DC"/>
    <w:rsid w:val="007E4C7C"/>
    <w:rsid w:val="007E4F00"/>
    <w:rsid w:val="007E4FE1"/>
    <w:rsid w:val="007E54F8"/>
    <w:rsid w:val="007E5987"/>
    <w:rsid w:val="007E5BD8"/>
    <w:rsid w:val="007E6029"/>
    <w:rsid w:val="007E604B"/>
    <w:rsid w:val="007E6EAA"/>
    <w:rsid w:val="007E7203"/>
    <w:rsid w:val="007E7496"/>
    <w:rsid w:val="007E773E"/>
    <w:rsid w:val="007E7863"/>
    <w:rsid w:val="007E7A9C"/>
    <w:rsid w:val="007E7AF1"/>
    <w:rsid w:val="007E7BF9"/>
    <w:rsid w:val="007F02BC"/>
    <w:rsid w:val="007F0DF7"/>
    <w:rsid w:val="007F0E75"/>
    <w:rsid w:val="007F1329"/>
    <w:rsid w:val="007F172E"/>
    <w:rsid w:val="007F17EE"/>
    <w:rsid w:val="007F1D17"/>
    <w:rsid w:val="007F20D7"/>
    <w:rsid w:val="007F24A4"/>
    <w:rsid w:val="007F29F1"/>
    <w:rsid w:val="007F2E65"/>
    <w:rsid w:val="007F3F78"/>
    <w:rsid w:val="007F43BA"/>
    <w:rsid w:val="007F44E2"/>
    <w:rsid w:val="007F45D1"/>
    <w:rsid w:val="007F4DE7"/>
    <w:rsid w:val="007F58B5"/>
    <w:rsid w:val="007F64BE"/>
    <w:rsid w:val="007F650B"/>
    <w:rsid w:val="007F6BD5"/>
    <w:rsid w:val="007F6CCD"/>
    <w:rsid w:val="007F6DC3"/>
    <w:rsid w:val="007F7654"/>
    <w:rsid w:val="007F79A8"/>
    <w:rsid w:val="008006B4"/>
    <w:rsid w:val="00800F5B"/>
    <w:rsid w:val="00801590"/>
    <w:rsid w:val="008015B6"/>
    <w:rsid w:val="0080262B"/>
    <w:rsid w:val="008029E6"/>
    <w:rsid w:val="00803854"/>
    <w:rsid w:val="00803FD4"/>
    <w:rsid w:val="0080481C"/>
    <w:rsid w:val="00804C54"/>
    <w:rsid w:val="00804E66"/>
    <w:rsid w:val="008056DD"/>
    <w:rsid w:val="0080717D"/>
    <w:rsid w:val="008074A0"/>
    <w:rsid w:val="00807A68"/>
    <w:rsid w:val="0081104C"/>
    <w:rsid w:val="008121EC"/>
    <w:rsid w:val="008121F2"/>
    <w:rsid w:val="00812B09"/>
    <w:rsid w:val="00812D16"/>
    <w:rsid w:val="00812D60"/>
    <w:rsid w:val="00813708"/>
    <w:rsid w:val="00814577"/>
    <w:rsid w:val="008156C9"/>
    <w:rsid w:val="00816B4B"/>
    <w:rsid w:val="00816C51"/>
    <w:rsid w:val="00817531"/>
    <w:rsid w:val="008210B2"/>
    <w:rsid w:val="008212EE"/>
    <w:rsid w:val="0082151A"/>
    <w:rsid w:val="00821865"/>
    <w:rsid w:val="00821BA8"/>
    <w:rsid w:val="008225EB"/>
    <w:rsid w:val="008225F9"/>
    <w:rsid w:val="0082264E"/>
    <w:rsid w:val="00822C45"/>
    <w:rsid w:val="0082327D"/>
    <w:rsid w:val="00823A6F"/>
    <w:rsid w:val="00823E60"/>
    <w:rsid w:val="0082433D"/>
    <w:rsid w:val="00824BAF"/>
    <w:rsid w:val="00825ECE"/>
    <w:rsid w:val="00826509"/>
    <w:rsid w:val="00826F50"/>
    <w:rsid w:val="0082748C"/>
    <w:rsid w:val="00827FA0"/>
    <w:rsid w:val="00827FB5"/>
    <w:rsid w:val="00830E9F"/>
    <w:rsid w:val="00831545"/>
    <w:rsid w:val="008316A4"/>
    <w:rsid w:val="008316A6"/>
    <w:rsid w:val="00831CA1"/>
    <w:rsid w:val="00832D59"/>
    <w:rsid w:val="0083354D"/>
    <w:rsid w:val="00833726"/>
    <w:rsid w:val="008346B9"/>
    <w:rsid w:val="00835418"/>
    <w:rsid w:val="0083561B"/>
    <w:rsid w:val="00835CF1"/>
    <w:rsid w:val="00835E88"/>
    <w:rsid w:val="008372C6"/>
    <w:rsid w:val="0083784B"/>
    <w:rsid w:val="00837C72"/>
    <w:rsid w:val="00837D78"/>
    <w:rsid w:val="00837E14"/>
    <w:rsid w:val="008404C7"/>
    <w:rsid w:val="008405B0"/>
    <w:rsid w:val="0084073D"/>
    <w:rsid w:val="00840D79"/>
    <w:rsid w:val="00842204"/>
    <w:rsid w:val="00842A21"/>
    <w:rsid w:val="00844CBA"/>
    <w:rsid w:val="0084573C"/>
    <w:rsid w:val="00845DAD"/>
    <w:rsid w:val="00845F1A"/>
    <w:rsid w:val="00846CF1"/>
    <w:rsid w:val="00847015"/>
    <w:rsid w:val="00850C32"/>
    <w:rsid w:val="00851377"/>
    <w:rsid w:val="00851A91"/>
    <w:rsid w:val="00851FAB"/>
    <w:rsid w:val="008534B1"/>
    <w:rsid w:val="00854227"/>
    <w:rsid w:val="0085437C"/>
    <w:rsid w:val="00854B2F"/>
    <w:rsid w:val="00855241"/>
    <w:rsid w:val="0085534A"/>
    <w:rsid w:val="00855481"/>
    <w:rsid w:val="0085562C"/>
    <w:rsid w:val="00855AB7"/>
    <w:rsid w:val="00856354"/>
    <w:rsid w:val="008568E1"/>
    <w:rsid w:val="00856BE9"/>
    <w:rsid w:val="008578F8"/>
    <w:rsid w:val="00860566"/>
    <w:rsid w:val="00860AB1"/>
    <w:rsid w:val="0086129A"/>
    <w:rsid w:val="00861318"/>
    <w:rsid w:val="0086165C"/>
    <w:rsid w:val="00861B26"/>
    <w:rsid w:val="00861C74"/>
    <w:rsid w:val="00861D5D"/>
    <w:rsid w:val="00862E61"/>
    <w:rsid w:val="00862EED"/>
    <w:rsid w:val="00863A02"/>
    <w:rsid w:val="00863B60"/>
    <w:rsid w:val="008643FC"/>
    <w:rsid w:val="0086494E"/>
    <w:rsid w:val="008649B9"/>
    <w:rsid w:val="00864D92"/>
    <w:rsid w:val="00864F1D"/>
    <w:rsid w:val="00864FDB"/>
    <w:rsid w:val="00865398"/>
    <w:rsid w:val="00865A9C"/>
    <w:rsid w:val="00865DD7"/>
    <w:rsid w:val="00866185"/>
    <w:rsid w:val="008667B9"/>
    <w:rsid w:val="00866AF2"/>
    <w:rsid w:val="00866B7D"/>
    <w:rsid w:val="0086784F"/>
    <w:rsid w:val="008700C6"/>
    <w:rsid w:val="00870394"/>
    <w:rsid w:val="0087073B"/>
    <w:rsid w:val="00870A83"/>
    <w:rsid w:val="00872FBC"/>
    <w:rsid w:val="00873918"/>
    <w:rsid w:val="00873967"/>
    <w:rsid w:val="00874296"/>
    <w:rsid w:val="008743BB"/>
    <w:rsid w:val="0087456F"/>
    <w:rsid w:val="00874612"/>
    <w:rsid w:val="008759BD"/>
    <w:rsid w:val="00875E41"/>
    <w:rsid w:val="00876007"/>
    <w:rsid w:val="00876D5F"/>
    <w:rsid w:val="00876E25"/>
    <w:rsid w:val="00876FEF"/>
    <w:rsid w:val="008770D4"/>
    <w:rsid w:val="00877778"/>
    <w:rsid w:val="008800E5"/>
    <w:rsid w:val="0088127F"/>
    <w:rsid w:val="008815EF"/>
    <w:rsid w:val="00881A13"/>
    <w:rsid w:val="00881BEC"/>
    <w:rsid w:val="00881D71"/>
    <w:rsid w:val="00882501"/>
    <w:rsid w:val="00882F21"/>
    <w:rsid w:val="008830B0"/>
    <w:rsid w:val="00883ED5"/>
    <w:rsid w:val="00883F41"/>
    <w:rsid w:val="008849D0"/>
    <w:rsid w:val="00884C14"/>
    <w:rsid w:val="00885273"/>
    <w:rsid w:val="0088537B"/>
    <w:rsid w:val="00885A38"/>
    <w:rsid w:val="00885C28"/>
    <w:rsid w:val="00885F2C"/>
    <w:rsid w:val="00886386"/>
    <w:rsid w:val="0088701C"/>
    <w:rsid w:val="00887C66"/>
    <w:rsid w:val="00887D95"/>
    <w:rsid w:val="008902E6"/>
    <w:rsid w:val="00890E6F"/>
    <w:rsid w:val="008914E2"/>
    <w:rsid w:val="00892459"/>
    <w:rsid w:val="008929AA"/>
    <w:rsid w:val="00892AA5"/>
    <w:rsid w:val="00892B7F"/>
    <w:rsid w:val="00894764"/>
    <w:rsid w:val="0089499B"/>
    <w:rsid w:val="00894ACA"/>
    <w:rsid w:val="00894EC5"/>
    <w:rsid w:val="00895CCE"/>
    <w:rsid w:val="00895F44"/>
    <w:rsid w:val="00896658"/>
    <w:rsid w:val="008967B5"/>
    <w:rsid w:val="00896D12"/>
    <w:rsid w:val="008970DE"/>
    <w:rsid w:val="00897592"/>
    <w:rsid w:val="00897827"/>
    <w:rsid w:val="00897BD8"/>
    <w:rsid w:val="008A03AC"/>
    <w:rsid w:val="008A09A2"/>
    <w:rsid w:val="008A1008"/>
    <w:rsid w:val="008A16ED"/>
    <w:rsid w:val="008A301E"/>
    <w:rsid w:val="008A305C"/>
    <w:rsid w:val="008A345A"/>
    <w:rsid w:val="008A3929"/>
    <w:rsid w:val="008A3DB9"/>
    <w:rsid w:val="008A5225"/>
    <w:rsid w:val="008A5401"/>
    <w:rsid w:val="008A6A5C"/>
    <w:rsid w:val="008A72DB"/>
    <w:rsid w:val="008A7316"/>
    <w:rsid w:val="008A75AA"/>
    <w:rsid w:val="008B0A96"/>
    <w:rsid w:val="008B2760"/>
    <w:rsid w:val="008B4A1C"/>
    <w:rsid w:val="008B500A"/>
    <w:rsid w:val="008B59A5"/>
    <w:rsid w:val="008B5C05"/>
    <w:rsid w:val="008C090B"/>
    <w:rsid w:val="008C123D"/>
    <w:rsid w:val="008C1610"/>
    <w:rsid w:val="008C1700"/>
    <w:rsid w:val="008C2563"/>
    <w:rsid w:val="008C2B3B"/>
    <w:rsid w:val="008C2F1E"/>
    <w:rsid w:val="008C30E5"/>
    <w:rsid w:val="008C319B"/>
    <w:rsid w:val="008C3B5B"/>
    <w:rsid w:val="008C409F"/>
    <w:rsid w:val="008C602D"/>
    <w:rsid w:val="008C6882"/>
    <w:rsid w:val="008C6BCC"/>
    <w:rsid w:val="008C7A06"/>
    <w:rsid w:val="008D098D"/>
    <w:rsid w:val="008D135A"/>
    <w:rsid w:val="008D1B0F"/>
    <w:rsid w:val="008D2205"/>
    <w:rsid w:val="008D2331"/>
    <w:rsid w:val="008D3223"/>
    <w:rsid w:val="008D347F"/>
    <w:rsid w:val="008D35AD"/>
    <w:rsid w:val="008D3621"/>
    <w:rsid w:val="008D36CD"/>
    <w:rsid w:val="008D37C0"/>
    <w:rsid w:val="008D3988"/>
    <w:rsid w:val="008D41BB"/>
    <w:rsid w:val="008D4380"/>
    <w:rsid w:val="008D4778"/>
    <w:rsid w:val="008D48D1"/>
    <w:rsid w:val="008D4910"/>
    <w:rsid w:val="008D4F6F"/>
    <w:rsid w:val="008D597C"/>
    <w:rsid w:val="008D5EA7"/>
    <w:rsid w:val="008D5F60"/>
    <w:rsid w:val="008D691A"/>
    <w:rsid w:val="008D6988"/>
    <w:rsid w:val="008D6BE8"/>
    <w:rsid w:val="008D6D16"/>
    <w:rsid w:val="008E0402"/>
    <w:rsid w:val="008E1099"/>
    <w:rsid w:val="008E1323"/>
    <w:rsid w:val="008E1AB7"/>
    <w:rsid w:val="008E1C69"/>
    <w:rsid w:val="008E27E9"/>
    <w:rsid w:val="008E422B"/>
    <w:rsid w:val="008E42DE"/>
    <w:rsid w:val="008E4952"/>
    <w:rsid w:val="008E5EA2"/>
    <w:rsid w:val="008E6DFB"/>
    <w:rsid w:val="008E6F72"/>
    <w:rsid w:val="008E79EF"/>
    <w:rsid w:val="008E7F67"/>
    <w:rsid w:val="008F0D03"/>
    <w:rsid w:val="008F1550"/>
    <w:rsid w:val="008F16FD"/>
    <w:rsid w:val="008F2119"/>
    <w:rsid w:val="008F247B"/>
    <w:rsid w:val="008F24A6"/>
    <w:rsid w:val="008F2C49"/>
    <w:rsid w:val="008F36F0"/>
    <w:rsid w:val="008F49BE"/>
    <w:rsid w:val="008F55D0"/>
    <w:rsid w:val="008F66BC"/>
    <w:rsid w:val="008F6D69"/>
    <w:rsid w:val="008F7012"/>
    <w:rsid w:val="008F7CFF"/>
    <w:rsid w:val="008F7ED1"/>
    <w:rsid w:val="009002BB"/>
    <w:rsid w:val="0090048C"/>
    <w:rsid w:val="00900529"/>
    <w:rsid w:val="00900A21"/>
    <w:rsid w:val="00901C8D"/>
    <w:rsid w:val="00901EDE"/>
    <w:rsid w:val="00902A43"/>
    <w:rsid w:val="00902DEC"/>
    <w:rsid w:val="0090368B"/>
    <w:rsid w:val="00904908"/>
    <w:rsid w:val="00904A4D"/>
    <w:rsid w:val="00905643"/>
    <w:rsid w:val="00905EE9"/>
    <w:rsid w:val="0090644D"/>
    <w:rsid w:val="009065F4"/>
    <w:rsid w:val="00906DDC"/>
    <w:rsid w:val="009075A7"/>
    <w:rsid w:val="0090796E"/>
    <w:rsid w:val="00907DFB"/>
    <w:rsid w:val="00907ECC"/>
    <w:rsid w:val="00910307"/>
    <w:rsid w:val="00910624"/>
    <w:rsid w:val="00910A45"/>
    <w:rsid w:val="00910FBA"/>
    <w:rsid w:val="009111D0"/>
    <w:rsid w:val="00911581"/>
    <w:rsid w:val="00911BF8"/>
    <w:rsid w:val="00911D39"/>
    <w:rsid w:val="00911E8F"/>
    <w:rsid w:val="00912B9F"/>
    <w:rsid w:val="009135D8"/>
    <w:rsid w:val="00913B4B"/>
    <w:rsid w:val="0091400B"/>
    <w:rsid w:val="00914067"/>
    <w:rsid w:val="0091474A"/>
    <w:rsid w:val="00914CEC"/>
    <w:rsid w:val="009157BC"/>
    <w:rsid w:val="00915DC7"/>
    <w:rsid w:val="00916551"/>
    <w:rsid w:val="00916DCD"/>
    <w:rsid w:val="0091745C"/>
    <w:rsid w:val="009177AB"/>
    <w:rsid w:val="00917C0F"/>
    <w:rsid w:val="009203B1"/>
    <w:rsid w:val="0092040E"/>
    <w:rsid w:val="009206AC"/>
    <w:rsid w:val="00920C6C"/>
    <w:rsid w:val="00921159"/>
    <w:rsid w:val="0092168A"/>
    <w:rsid w:val="0092185A"/>
    <w:rsid w:val="00921897"/>
    <w:rsid w:val="00921BB9"/>
    <w:rsid w:val="00921C6D"/>
    <w:rsid w:val="00921CFB"/>
    <w:rsid w:val="009227D9"/>
    <w:rsid w:val="00922D18"/>
    <w:rsid w:val="0092384B"/>
    <w:rsid w:val="00923C44"/>
    <w:rsid w:val="00923C95"/>
    <w:rsid w:val="009240E8"/>
    <w:rsid w:val="0092462E"/>
    <w:rsid w:val="00924BE4"/>
    <w:rsid w:val="00924D7D"/>
    <w:rsid w:val="009252E1"/>
    <w:rsid w:val="009253BA"/>
    <w:rsid w:val="00925EE8"/>
    <w:rsid w:val="0092670B"/>
    <w:rsid w:val="00926CEF"/>
    <w:rsid w:val="00927455"/>
    <w:rsid w:val="00927791"/>
    <w:rsid w:val="00927A0C"/>
    <w:rsid w:val="00930292"/>
    <w:rsid w:val="00930607"/>
    <w:rsid w:val="00930756"/>
    <w:rsid w:val="00930D0A"/>
    <w:rsid w:val="00932410"/>
    <w:rsid w:val="009329BA"/>
    <w:rsid w:val="0093304D"/>
    <w:rsid w:val="00933856"/>
    <w:rsid w:val="00933DC4"/>
    <w:rsid w:val="00933DFF"/>
    <w:rsid w:val="009340C2"/>
    <w:rsid w:val="0093427E"/>
    <w:rsid w:val="009345E0"/>
    <w:rsid w:val="00934E99"/>
    <w:rsid w:val="009358A8"/>
    <w:rsid w:val="00936939"/>
    <w:rsid w:val="00936E40"/>
    <w:rsid w:val="00936F6F"/>
    <w:rsid w:val="00937D8F"/>
    <w:rsid w:val="00937FB8"/>
    <w:rsid w:val="0094053B"/>
    <w:rsid w:val="009408C6"/>
    <w:rsid w:val="009408D3"/>
    <w:rsid w:val="00940DA2"/>
    <w:rsid w:val="0094103B"/>
    <w:rsid w:val="00941B59"/>
    <w:rsid w:val="00942040"/>
    <w:rsid w:val="00942C9F"/>
    <w:rsid w:val="00942D48"/>
    <w:rsid w:val="009432C7"/>
    <w:rsid w:val="00943C70"/>
    <w:rsid w:val="00943F98"/>
    <w:rsid w:val="009444A6"/>
    <w:rsid w:val="00945631"/>
    <w:rsid w:val="009457B5"/>
    <w:rsid w:val="0094630B"/>
    <w:rsid w:val="00947549"/>
    <w:rsid w:val="0094793A"/>
    <w:rsid w:val="00947CF3"/>
    <w:rsid w:val="00950194"/>
    <w:rsid w:val="0095025C"/>
    <w:rsid w:val="00950922"/>
    <w:rsid w:val="00950AFD"/>
    <w:rsid w:val="00950C22"/>
    <w:rsid w:val="00950C3F"/>
    <w:rsid w:val="009511C3"/>
    <w:rsid w:val="0095186F"/>
    <w:rsid w:val="00951886"/>
    <w:rsid w:val="00952EBC"/>
    <w:rsid w:val="00953004"/>
    <w:rsid w:val="00953CE1"/>
    <w:rsid w:val="00953DE1"/>
    <w:rsid w:val="00954485"/>
    <w:rsid w:val="0095493B"/>
    <w:rsid w:val="00954D9B"/>
    <w:rsid w:val="00955A03"/>
    <w:rsid w:val="00956417"/>
    <w:rsid w:val="00956CE9"/>
    <w:rsid w:val="00956D32"/>
    <w:rsid w:val="009573D4"/>
    <w:rsid w:val="00957471"/>
    <w:rsid w:val="0095793C"/>
    <w:rsid w:val="00960460"/>
    <w:rsid w:val="0096111E"/>
    <w:rsid w:val="00961125"/>
    <w:rsid w:val="0096144B"/>
    <w:rsid w:val="009616C1"/>
    <w:rsid w:val="00961BDB"/>
    <w:rsid w:val="009623D8"/>
    <w:rsid w:val="00962FD4"/>
    <w:rsid w:val="00963106"/>
    <w:rsid w:val="00963362"/>
    <w:rsid w:val="009635F7"/>
    <w:rsid w:val="00963BD1"/>
    <w:rsid w:val="00964192"/>
    <w:rsid w:val="00964579"/>
    <w:rsid w:val="00964696"/>
    <w:rsid w:val="009648B3"/>
    <w:rsid w:val="00965C78"/>
    <w:rsid w:val="00965EB6"/>
    <w:rsid w:val="00966B1F"/>
    <w:rsid w:val="00966BA4"/>
    <w:rsid w:val="009673D7"/>
    <w:rsid w:val="009675A9"/>
    <w:rsid w:val="00970A7E"/>
    <w:rsid w:val="0097116E"/>
    <w:rsid w:val="00971E11"/>
    <w:rsid w:val="0097202C"/>
    <w:rsid w:val="00972CEE"/>
    <w:rsid w:val="00973131"/>
    <w:rsid w:val="009739C0"/>
    <w:rsid w:val="00973F23"/>
    <w:rsid w:val="00974518"/>
    <w:rsid w:val="00974A26"/>
    <w:rsid w:val="00976FFF"/>
    <w:rsid w:val="00977080"/>
    <w:rsid w:val="00980057"/>
    <w:rsid w:val="009802BC"/>
    <w:rsid w:val="0098065B"/>
    <w:rsid w:val="00980FE0"/>
    <w:rsid w:val="009818FE"/>
    <w:rsid w:val="00981C72"/>
    <w:rsid w:val="00981F8B"/>
    <w:rsid w:val="009826BC"/>
    <w:rsid w:val="009828BD"/>
    <w:rsid w:val="00982C5A"/>
    <w:rsid w:val="009834C4"/>
    <w:rsid w:val="00983C06"/>
    <w:rsid w:val="00983C08"/>
    <w:rsid w:val="00984925"/>
    <w:rsid w:val="009854A0"/>
    <w:rsid w:val="00985C38"/>
    <w:rsid w:val="00985CE5"/>
    <w:rsid w:val="00985EF3"/>
    <w:rsid w:val="00985F8B"/>
    <w:rsid w:val="009861B1"/>
    <w:rsid w:val="009861DF"/>
    <w:rsid w:val="0098648C"/>
    <w:rsid w:val="00986AFE"/>
    <w:rsid w:val="00990058"/>
    <w:rsid w:val="00990282"/>
    <w:rsid w:val="00990B70"/>
    <w:rsid w:val="00990C3B"/>
    <w:rsid w:val="009914AE"/>
    <w:rsid w:val="009916DE"/>
    <w:rsid w:val="0099170E"/>
    <w:rsid w:val="00991CBD"/>
    <w:rsid w:val="009921E6"/>
    <w:rsid w:val="00992687"/>
    <w:rsid w:val="009928B7"/>
    <w:rsid w:val="00992B53"/>
    <w:rsid w:val="00992F14"/>
    <w:rsid w:val="0099315B"/>
    <w:rsid w:val="0099321A"/>
    <w:rsid w:val="00993225"/>
    <w:rsid w:val="00993804"/>
    <w:rsid w:val="009943A4"/>
    <w:rsid w:val="00994468"/>
    <w:rsid w:val="009947E8"/>
    <w:rsid w:val="009954CF"/>
    <w:rsid w:val="009960B7"/>
    <w:rsid w:val="00996A77"/>
    <w:rsid w:val="00996BC6"/>
    <w:rsid w:val="00996CB5"/>
    <w:rsid w:val="00996F08"/>
    <w:rsid w:val="009972FE"/>
    <w:rsid w:val="00997A1C"/>
    <w:rsid w:val="009A0480"/>
    <w:rsid w:val="009A1756"/>
    <w:rsid w:val="009A17F0"/>
    <w:rsid w:val="009A26CF"/>
    <w:rsid w:val="009A36F6"/>
    <w:rsid w:val="009A3786"/>
    <w:rsid w:val="009A3A82"/>
    <w:rsid w:val="009A45FA"/>
    <w:rsid w:val="009A525E"/>
    <w:rsid w:val="009A576F"/>
    <w:rsid w:val="009A57E4"/>
    <w:rsid w:val="009A5BAA"/>
    <w:rsid w:val="009A7691"/>
    <w:rsid w:val="009A7734"/>
    <w:rsid w:val="009B14AB"/>
    <w:rsid w:val="009B2FD2"/>
    <w:rsid w:val="009B339D"/>
    <w:rsid w:val="009B3489"/>
    <w:rsid w:val="009B4446"/>
    <w:rsid w:val="009B4B33"/>
    <w:rsid w:val="009B5347"/>
    <w:rsid w:val="009B536C"/>
    <w:rsid w:val="009B5C19"/>
    <w:rsid w:val="009B5ED8"/>
    <w:rsid w:val="009B6496"/>
    <w:rsid w:val="009B6AF6"/>
    <w:rsid w:val="009C01DA"/>
    <w:rsid w:val="009C0249"/>
    <w:rsid w:val="009C0654"/>
    <w:rsid w:val="009C06D4"/>
    <w:rsid w:val="009C0EBF"/>
    <w:rsid w:val="009C11D9"/>
    <w:rsid w:val="009C134A"/>
    <w:rsid w:val="009C1528"/>
    <w:rsid w:val="009C1BC1"/>
    <w:rsid w:val="009C20CC"/>
    <w:rsid w:val="009C260B"/>
    <w:rsid w:val="009C2BDF"/>
    <w:rsid w:val="009C3558"/>
    <w:rsid w:val="009C3F9F"/>
    <w:rsid w:val="009C417C"/>
    <w:rsid w:val="009C438A"/>
    <w:rsid w:val="009C45FE"/>
    <w:rsid w:val="009C4729"/>
    <w:rsid w:val="009C4B0A"/>
    <w:rsid w:val="009C528D"/>
    <w:rsid w:val="009C53CF"/>
    <w:rsid w:val="009C562E"/>
    <w:rsid w:val="009C5E44"/>
    <w:rsid w:val="009C60A7"/>
    <w:rsid w:val="009C673F"/>
    <w:rsid w:val="009C7531"/>
    <w:rsid w:val="009C764A"/>
    <w:rsid w:val="009C7A08"/>
    <w:rsid w:val="009C7E88"/>
    <w:rsid w:val="009D0EB2"/>
    <w:rsid w:val="009D217B"/>
    <w:rsid w:val="009D220C"/>
    <w:rsid w:val="009D221F"/>
    <w:rsid w:val="009D2AE7"/>
    <w:rsid w:val="009D2B81"/>
    <w:rsid w:val="009D2F5B"/>
    <w:rsid w:val="009D33CF"/>
    <w:rsid w:val="009D3E5D"/>
    <w:rsid w:val="009D4377"/>
    <w:rsid w:val="009D490F"/>
    <w:rsid w:val="009D4A2B"/>
    <w:rsid w:val="009D4AA3"/>
    <w:rsid w:val="009D4C5D"/>
    <w:rsid w:val="009D502D"/>
    <w:rsid w:val="009D5C48"/>
    <w:rsid w:val="009D6058"/>
    <w:rsid w:val="009D69B7"/>
    <w:rsid w:val="009D6FBF"/>
    <w:rsid w:val="009D7258"/>
    <w:rsid w:val="009D758C"/>
    <w:rsid w:val="009E022A"/>
    <w:rsid w:val="009E03E4"/>
    <w:rsid w:val="009E0962"/>
    <w:rsid w:val="009E09F0"/>
    <w:rsid w:val="009E0DF8"/>
    <w:rsid w:val="009E0E78"/>
    <w:rsid w:val="009E1837"/>
    <w:rsid w:val="009E19E8"/>
    <w:rsid w:val="009E1BB9"/>
    <w:rsid w:val="009E2D18"/>
    <w:rsid w:val="009E377C"/>
    <w:rsid w:val="009E411C"/>
    <w:rsid w:val="009E458A"/>
    <w:rsid w:val="009E483B"/>
    <w:rsid w:val="009E488F"/>
    <w:rsid w:val="009E4CE6"/>
    <w:rsid w:val="009E5155"/>
    <w:rsid w:val="009E5316"/>
    <w:rsid w:val="009E54AD"/>
    <w:rsid w:val="009E54B3"/>
    <w:rsid w:val="009E5984"/>
    <w:rsid w:val="009E5D7C"/>
    <w:rsid w:val="009E5DFC"/>
    <w:rsid w:val="009E6391"/>
    <w:rsid w:val="009E79FA"/>
    <w:rsid w:val="009F047D"/>
    <w:rsid w:val="009F1731"/>
    <w:rsid w:val="009F1789"/>
    <w:rsid w:val="009F1A78"/>
    <w:rsid w:val="009F29B1"/>
    <w:rsid w:val="009F2DBE"/>
    <w:rsid w:val="009F2E3B"/>
    <w:rsid w:val="009F307A"/>
    <w:rsid w:val="009F36D2"/>
    <w:rsid w:val="009F39B1"/>
    <w:rsid w:val="009F39E9"/>
    <w:rsid w:val="009F3B1D"/>
    <w:rsid w:val="009F3B6B"/>
    <w:rsid w:val="009F435F"/>
    <w:rsid w:val="009F4504"/>
    <w:rsid w:val="009F4E2C"/>
    <w:rsid w:val="009F502C"/>
    <w:rsid w:val="009F556E"/>
    <w:rsid w:val="009F5745"/>
    <w:rsid w:val="009F57B8"/>
    <w:rsid w:val="009F5C4A"/>
    <w:rsid w:val="009F603B"/>
    <w:rsid w:val="009F6987"/>
    <w:rsid w:val="009F720F"/>
    <w:rsid w:val="009F754C"/>
    <w:rsid w:val="009F7854"/>
    <w:rsid w:val="009F7922"/>
    <w:rsid w:val="00A00632"/>
    <w:rsid w:val="00A010E7"/>
    <w:rsid w:val="00A011B0"/>
    <w:rsid w:val="00A0166A"/>
    <w:rsid w:val="00A01A17"/>
    <w:rsid w:val="00A01A60"/>
    <w:rsid w:val="00A02340"/>
    <w:rsid w:val="00A03D43"/>
    <w:rsid w:val="00A041C1"/>
    <w:rsid w:val="00A042CE"/>
    <w:rsid w:val="00A04615"/>
    <w:rsid w:val="00A04C30"/>
    <w:rsid w:val="00A0613A"/>
    <w:rsid w:val="00A0697A"/>
    <w:rsid w:val="00A06C50"/>
    <w:rsid w:val="00A06E6E"/>
    <w:rsid w:val="00A06F2F"/>
    <w:rsid w:val="00A076F9"/>
    <w:rsid w:val="00A07997"/>
    <w:rsid w:val="00A07F87"/>
    <w:rsid w:val="00A10E84"/>
    <w:rsid w:val="00A116DD"/>
    <w:rsid w:val="00A118A8"/>
    <w:rsid w:val="00A11C3C"/>
    <w:rsid w:val="00A1210A"/>
    <w:rsid w:val="00A1299C"/>
    <w:rsid w:val="00A13659"/>
    <w:rsid w:val="00A145D5"/>
    <w:rsid w:val="00A1587B"/>
    <w:rsid w:val="00A15912"/>
    <w:rsid w:val="00A15BC1"/>
    <w:rsid w:val="00A1637F"/>
    <w:rsid w:val="00A166F8"/>
    <w:rsid w:val="00A16E56"/>
    <w:rsid w:val="00A16FCB"/>
    <w:rsid w:val="00A17985"/>
    <w:rsid w:val="00A17A2F"/>
    <w:rsid w:val="00A203A2"/>
    <w:rsid w:val="00A205DC"/>
    <w:rsid w:val="00A206ED"/>
    <w:rsid w:val="00A20806"/>
    <w:rsid w:val="00A20C7F"/>
    <w:rsid w:val="00A2189D"/>
    <w:rsid w:val="00A21902"/>
    <w:rsid w:val="00A21C45"/>
    <w:rsid w:val="00A21D41"/>
    <w:rsid w:val="00A22DBA"/>
    <w:rsid w:val="00A2329D"/>
    <w:rsid w:val="00A23666"/>
    <w:rsid w:val="00A23C94"/>
    <w:rsid w:val="00A2490E"/>
    <w:rsid w:val="00A24C7D"/>
    <w:rsid w:val="00A24D49"/>
    <w:rsid w:val="00A24E93"/>
    <w:rsid w:val="00A25442"/>
    <w:rsid w:val="00A25539"/>
    <w:rsid w:val="00A25BFF"/>
    <w:rsid w:val="00A25D26"/>
    <w:rsid w:val="00A25DD4"/>
    <w:rsid w:val="00A26648"/>
    <w:rsid w:val="00A26F79"/>
    <w:rsid w:val="00A27221"/>
    <w:rsid w:val="00A27522"/>
    <w:rsid w:val="00A30939"/>
    <w:rsid w:val="00A3136F"/>
    <w:rsid w:val="00A31C91"/>
    <w:rsid w:val="00A32AC1"/>
    <w:rsid w:val="00A32E49"/>
    <w:rsid w:val="00A33840"/>
    <w:rsid w:val="00A342C3"/>
    <w:rsid w:val="00A34ACC"/>
    <w:rsid w:val="00A34D0C"/>
    <w:rsid w:val="00A34D76"/>
    <w:rsid w:val="00A35039"/>
    <w:rsid w:val="00A35125"/>
    <w:rsid w:val="00A358CF"/>
    <w:rsid w:val="00A35C5F"/>
    <w:rsid w:val="00A35E34"/>
    <w:rsid w:val="00A364EE"/>
    <w:rsid w:val="00A365D0"/>
    <w:rsid w:val="00A402B8"/>
    <w:rsid w:val="00A4033B"/>
    <w:rsid w:val="00A4043E"/>
    <w:rsid w:val="00A4181A"/>
    <w:rsid w:val="00A43541"/>
    <w:rsid w:val="00A437D9"/>
    <w:rsid w:val="00A43AF4"/>
    <w:rsid w:val="00A43C16"/>
    <w:rsid w:val="00A43F2F"/>
    <w:rsid w:val="00A443A6"/>
    <w:rsid w:val="00A44C8E"/>
    <w:rsid w:val="00A4582D"/>
    <w:rsid w:val="00A458C2"/>
    <w:rsid w:val="00A459DF"/>
    <w:rsid w:val="00A45A1A"/>
    <w:rsid w:val="00A45BF4"/>
    <w:rsid w:val="00A45E61"/>
    <w:rsid w:val="00A4664F"/>
    <w:rsid w:val="00A4727A"/>
    <w:rsid w:val="00A47694"/>
    <w:rsid w:val="00A47F32"/>
    <w:rsid w:val="00A500FA"/>
    <w:rsid w:val="00A506FA"/>
    <w:rsid w:val="00A50E95"/>
    <w:rsid w:val="00A51A08"/>
    <w:rsid w:val="00A51D14"/>
    <w:rsid w:val="00A52385"/>
    <w:rsid w:val="00A52843"/>
    <w:rsid w:val="00A52A80"/>
    <w:rsid w:val="00A52AD9"/>
    <w:rsid w:val="00A52E3B"/>
    <w:rsid w:val="00A53220"/>
    <w:rsid w:val="00A538E6"/>
    <w:rsid w:val="00A544BE"/>
    <w:rsid w:val="00A54514"/>
    <w:rsid w:val="00A54E41"/>
    <w:rsid w:val="00A54E59"/>
    <w:rsid w:val="00A56102"/>
    <w:rsid w:val="00A56800"/>
    <w:rsid w:val="00A56D7E"/>
    <w:rsid w:val="00A5711C"/>
    <w:rsid w:val="00A57404"/>
    <w:rsid w:val="00A575BC"/>
    <w:rsid w:val="00A575BD"/>
    <w:rsid w:val="00A60771"/>
    <w:rsid w:val="00A60EEC"/>
    <w:rsid w:val="00A614BD"/>
    <w:rsid w:val="00A6150B"/>
    <w:rsid w:val="00A615C3"/>
    <w:rsid w:val="00A616F2"/>
    <w:rsid w:val="00A6249B"/>
    <w:rsid w:val="00A630BA"/>
    <w:rsid w:val="00A632D3"/>
    <w:rsid w:val="00A63B83"/>
    <w:rsid w:val="00A642B6"/>
    <w:rsid w:val="00A643C6"/>
    <w:rsid w:val="00A647A8"/>
    <w:rsid w:val="00A65A18"/>
    <w:rsid w:val="00A65BD9"/>
    <w:rsid w:val="00A6653D"/>
    <w:rsid w:val="00A665AB"/>
    <w:rsid w:val="00A66718"/>
    <w:rsid w:val="00A66BCF"/>
    <w:rsid w:val="00A66CBF"/>
    <w:rsid w:val="00A67148"/>
    <w:rsid w:val="00A671C2"/>
    <w:rsid w:val="00A671EF"/>
    <w:rsid w:val="00A6723E"/>
    <w:rsid w:val="00A674CF"/>
    <w:rsid w:val="00A704ED"/>
    <w:rsid w:val="00A70B31"/>
    <w:rsid w:val="00A71237"/>
    <w:rsid w:val="00A716B2"/>
    <w:rsid w:val="00A71A98"/>
    <w:rsid w:val="00A71EF0"/>
    <w:rsid w:val="00A72008"/>
    <w:rsid w:val="00A7228E"/>
    <w:rsid w:val="00A73827"/>
    <w:rsid w:val="00A73A74"/>
    <w:rsid w:val="00A73ECC"/>
    <w:rsid w:val="00A740EE"/>
    <w:rsid w:val="00A74E10"/>
    <w:rsid w:val="00A752DE"/>
    <w:rsid w:val="00A7569E"/>
    <w:rsid w:val="00A759FE"/>
    <w:rsid w:val="00A75BCE"/>
    <w:rsid w:val="00A75CF1"/>
    <w:rsid w:val="00A75EC5"/>
    <w:rsid w:val="00A75FE1"/>
    <w:rsid w:val="00A761DD"/>
    <w:rsid w:val="00A765BF"/>
    <w:rsid w:val="00A7671D"/>
    <w:rsid w:val="00A767A1"/>
    <w:rsid w:val="00A76B5C"/>
    <w:rsid w:val="00A76D67"/>
    <w:rsid w:val="00A772E4"/>
    <w:rsid w:val="00A773DD"/>
    <w:rsid w:val="00A77562"/>
    <w:rsid w:val="00A776B8"/>
    <w:rsid w:val="00A77DCE"/>
    <w:rsid w:val="00A80E43"/>
    <w:rsid w:val="00A81B10"/>
    <w:rsid w:val="00A81EB6"/>
    <w:rsid w:val="00A82313"/>
    <w:rsid w:val="00A826D5"/>
    <w:rsid w:val="00A82DE9"/>
    <w:rsid w:val="00A837FE"/>
    <w:rsid w:val="00A85357"/>
    <w:rsid w:val="00A85569"/>
    <w:rsid w:val="00A856B8"/>
    <w:rsid w:val="00A8583C"/>
    <w:rsid w:val="00A8593D"/>
    <w:rsid w:val="00A85BD5"/>
    <w:rsid w:val="00A86835"/>
    <w:rsid w:val="00A86A99"/>
    <w:rsid w:val="00A86D6B"/>
    <w:rsid w:val="00A871E5"/>
    <w:rsid w:val="00A871F8"/>
    <w:rsid w:val="00A87390"/>
    <w:rsid w:val="00A900F2"/>
    <w:rsid w:val="00A90143"/>
    <w:rsid w:val="00A902DD"/>
    <w:rsid w:val="00A90978"/>
    <w:rsid w:val="00A90DA5"/>
    <w:rsid w:val="00A914A4"/>
    <w:rsid w:val="00A91617"/>
    <w:rsid w:val="00A91786"/>
    <w:rsid w:val="00A9195F"/>
    <w:rsid w:val="00A920B7"/>
    <w:rsid w:val="00A92F0D"/>
    <w:rsid w:val="00A92FE2"/>
    <w:rsid w:val="00A93C1C"/>
    <w:rsid w:val="00A93D4A"/>
    <w:rsid w:val="00A9410F"/>
    <w:rsid w:val="00A94F2C"/>
    <w:rsid w:val="00A953D4"/>
    <w:rsid w:val="00A95D00"/>
    <w:rsid w:val="00A96561"/>
    <w:rsid w:val="00A96FA8"/>
    <w:rsid w:val="00A973E8"/>
    <w:rsid w:val="00A975A3"/>
    <w:rsid w:val="00A9770A"/>
    <w:rsid w:val="00A97A89"/>
    <w:rsid w:val="00A97AF7"/>
    <w:rsid w:val="00AA011C"/>
    <w:rsid w:val="00AA0188"/>
    <w:rsid w:val="00AA0A43"/>
    <w:rsid w:val="00AA0BA4"/>
    <w:rsid w:val="00AA0D69"/>
    <w:rsid w:val="00AA0DD3"/>
    <w:rsid w:val="00AA1802"/>
    <w:rsid w:val="00AA1A88"/>
    <w:rsid w:val="00AA1C07"/>
    <w:rsid w:val="00AA1CDA"/>
    <w:rsid w:val="00AA2014"/>
    <w:rsid w:val="00AA342D"/>
    <w:rsid w:val="00AA3688"/>
    <w:rsid w:val="00AA3A0C"/>
    <w:rsid w:val="00AA4006"/>
    <w:rsid w:val="00AA4699"/>
    <w:rsid w:val="00AA4784"/>
    <w:rsid w:val="00AA5887"/>
    <w:rsid w:val="00AA5E6B"/>
    <w:rsid w:val="00AA68DE"/>
    <w:rsid w:val="00AA76AD"/>
    <w:rsid w:val="00AB0617"/>
    <w:rsid w:val="00AB062C"/>
    <w:rsid w:val="00AB0833"/>
    <w:rsid w:val="00AB0C04"/>
    <w:rsid w:val="00AB0DF1"/>
    <w:rsid w:val="00AB19F8"/>
    <w:rsid w:val="00AB25E6"/>
    <w:rsid w:val="00AB2A61"/>
    <w:rsid w:val="00AB37E1"/>
    <w:rsid w:val="00AB3A12"/>
    <w:rsid w:val="00AB43B8"/>
    <w:rsid w:val="00AB5999"/>
    <w:rsid w:val="00AB5A8D"/>
    <w:rsid w:val="00AB5B50"/>
    <w:rsid w:val="00AB6642"/>
    <w:rsid w:val="00AB753D"/>
    <w:rsid w:val="00AC01F7"/>
    <w:rsid w:val="00AC0ACC"/>
    <w:rsid w:val="00AC15EB"/>
    <w:rsid w:val="00AC26A9"/>
    <w:rsid w:val="00AC2EFE"/>
    <w:rsid w:val="00AC390D"/>
    <w:rsid w:val="00AC3930"/>
    <w:rsid w:val="00AC3994"/>
    <w:rsid w:val="00AC3AB1"/>
    <w:rsid w:val="00AC3C89"/>
    <w:rsid w:val="00AC41D3"/>
    <w:rsid w:val="00AC49CE"/>
    <w:rsid w:val="00AC5027"/>
    <w:rsid w:val="00AC5452"/>
    <w:rsid w:val="00AC588C"/>
    <w:rsid w:val="00AC5A2D"/>
    <w:rsid w:val="00AC68C6"/>
    <w:rsid w:val="00AC7612"/>
    <w:rsid w:val="00AC79C1"/>
    <w:rsid w:val="00AC7CA4"/>
    <w:rsid w:val="00AC7D52"/>
    <w:rsid w:val="00AD09E8"/>
    <w:rsid w:val="00AD0CE6"/>
    <w:rsid w:val="00AD103E"/>
    <w:rsid w:val="00AD165F"/>
    <w:rsid w:val="00AD493B"/>
    <w:rsid w:val="00AD4A64"/>
    <w:rsid w:val="00AD4B52"/>
    <w:rsid w:val="00AD4D4E"/>
    <w:rsid w:val="00AD4D67"/>
    <w:rsid w:val="00AD5713"/>
    <w:rsid w:val="00AD571A"/>
    <w:rsid w:val="00AD598F"/>
    <w:rsid w:val="00AD600E"/>
    <w:rsid w:val="00AD646A"/>
    <w:rsid w:val="00AD658C"/>
    <w:rsid w:val="00AD6D09"/>
    <w:rsid w:val="00AD6F2C"/>
    <w:rsid w:val="00AD7A79"/>
    <w:rsid w:val="00AE010C"/>
    <w:rsid w:val="00AE0201"/>
    <w:rsid w:val="00AE03D4"/>
    <w:rsid w:val="00AE07DA"/>
    <w:rsid w:val="00AE08BF"/>
    <w:rsid w:val="00AE098E"/>
    <w:rsid w:val="00AE0BBA"/>
    <w:rsid w:val="00AE0E41"/>
    <w:rsid w:val="00AE1574"/>
    <w:rsid w:val="00AE18C1"/>
    <w:rsid w:val="00AE1BCE"/>
    <w:rsid w:val="00AE1CCE"/>
    <w:rsid w:val="00AE2291"/>
    <w:rsid w:val="00AE25C8"/>
    <w:rsid w:val="00AE370B"/>
    <w:rsid w:val="00AE3A94"/>
    <w:rsid w:val="00AE4003"/>
    <w:rsid w:val="00AE4113"/>
    <w:rsid w:val="00AE4380"/>
    <w:rsid w:val="00AE4BBF"/>
    <w:rsid w:val="00AE4FAC"/>
    <w:rsid w:val="00AE5525"/>
    <w:rsid w:val="00AE6381"/>
    <w:rsid w:val="00AE656F"/>
    <w:rsid w:val="00AE7221"/>
    <w:rsid w:val="00AE75CF"/>
    <w:rsid w:val="00AE7D78"/>
    <w:rsid w:val="00AF0090"/>
    <w:rsid w:val="00AF01CC"/>
    <w:rsid w:val="00AF1C46"/>
    <w:rsid w:val="00AF1CC5"/>
    <w:rsid w:val="00AF1E4D"/>
    <w:rsid w:val="00AF1F2C"/>
    <w:rsid w:val="00AF3219"/>
    <w:rsid w:val="00AF3348"/>
    <w:rsid w:val="00AF38FC"/>
    <w:rsid w:val="00AF405E"/>
    <w:rsid w:val="00AF41F6"/>
    <w:rsid w:val="00AF438E"/>
    <w:rsid w:val="00AF459A"/>
    <w:rsid w:val="00AF45CA"/>
    <w:rsid w:val="00AF4C53"/>
    <w:rsid w:val="00AF4E74"/>
    <w:rsid w:val="00AF4FC9"/>
    <w:rsid w:val="00AF552B"/>
    <w:rsid w:val="00AF5CEE"/>
    <w:rsid w:val="00AF62C0"/>
    <w:rsid w:val="00AF63B6"/>
    <w:rsid w:val="00AF641F"/>
    <w:rsid w:val="00AF6631"/>
    <w:rsid w:val="00AF6871"/>
    <w:rsid w:val="00AF7506"/>
    <w:rsid w:val="00B007DD"/>
    <w:rsid w:val="00B0098A"/>
    <w:rsid w:val="00B00BAE"/>
    <w:rsid w:val="00B01016"/>
    <w:rsid w:val="00B0146E"/>
    <w:rsid w:val="00B02160"/>
    <w:rsid w:val="00B027CB"/>
    <w:rsid w:val="00B0352B"/>
    <w:rsid w:val="00B047C5"/>
    <w:rsid w:val="00B049AA"/>
    <w:rsid w:val="00B06E1F"/>
    <w:rsid w:val="00B073E6"/>
    <w:rsid w:val="00B074F8"/>
    <w:rsid w:val="00B10596"/>
    <w:rsid w:val="00B112CF"/>
    <w:rsid w:val="00B113A3"/>
    <w:rsid w:val="00B11A3D"/>
    <w:rsid w:val="00B11AD8"/>
    <w:rsid w:val="00B11BE9"/>
    <w:rsid w:val="00B11FDF"/>
    <w:rsid w:val="00B121B0"/>
    <w:rsid w:val="00B124A1"/>
    <w:rsid w:val="00B12EE4"/>
    <w:rsid w:val="00B13524"/>
    <w:rsid w:val="00B13B87"/>
    <w:rsid w:val="00B13FD8"/>
    <w:rsid w:val="00B14234"/>
    <w:rsid w:val="00B1474D"/>
    <w:rsid w:val="00B14B3D"/>
    <w:rsid w:val="00B152E8"/>
    <w:rsid w:val="00B164AC"/>
    <w:rsid w:val="00B168C7"/>
    <w:rsid w:val="00B1757C"/>
    <w:rsid w:val="00B17FAB"/>
    <w:rsid w:val="00B212A0"/>
    <w:rsid w:val="00B2190D"/>
    <w:rsid w:val="00B21BE7"/>
    <w:rsid w:val="00B22B7D"/>
    <w:rsid w:val="00B22C5F"/>
    <w:rsid w:val="00B23687"/>
    <w:rsid w:val="00B23941"/>
    <w:rsid w:val="00B23978"/>
    <w:rsid w:val="00B23B89"/>
    <w:rsid w:val="00B23BBF"/>
    <w:rsid w:val="00B24127"/>
    <w:rsid w:val="00B24CE9"/>
    <w:rsid w:val="00B24DBA"/>
    <w:rsid w:val="00B25710"/>
    <w:rsid w:val="00B25D0B"/>
    <w:rsid w:val="00B263C4"/>
    <w:rsid w:val="00B264B6"/>
    <w:rsid w:val="00B26571"/>
    <w:rsid w:val="00B27B03"/>
    <w:rsid w:val="00B3050C"/>
    <w:rsid w:val="00B30BFC"/>
    <w:rsid w:val="00B30C51"/>
    <w:rsid w:val="00B3137A"/>
    <w:rsid w:val="00B317D7"/>
    <w:rsid w:val="00B31B62"/>
    <w:rsid w:val="00B3208E"/>
    <w:rsid w:val="00B32752"/>
    <w:rsid w:val="00B32B66"/>
    <w:rsid w:val="00B32C6B"/>
    <w:rsid w:val="00B32CA0"/>
    <w:rsid w:val="00B32D15"/>
    <w:rsid w:val="00B33393"/>
    <w:rsid w:val="00B33711"/>
    <w:rsid w:val="00B33993"/>
    <w:rsid w:val="00B33B6A"/>
    <w:rsid w:val="00B33B70"/>
    <w:rsid w:val="00B33E5D"/>
    <w:rsid w:val="00B344DD"/>
    <w:rsid w:val="00B34889"/>
    <w:rsid w:val="00B34AD7"/>
    <w:rsid w:val="00B34B4B"/>
    <w:rsid w:val="00B34FFC"/>
    <w:rsid w:val="00B3506C"/>
    <w:rsid w:val="00B362F3"/>
    <w:rsid w:val="00B37550"/>
    <w:rsid w:val="00B3779E"/>
    <w:rsid w:val="00B402C6"/>
    <w:rsid w:val="00B412C6"/>
    <w:rsid w:val="00B41AAA"/>
    <w:rsid w:val="00B41B17"/>
    <w:rsid w:val="00B41CF8"/>
    <w:rsid w:val="00B41DC1"/>
    <w:rsid w:val="00B42488"/>
    <w:rsid w:val="00B42694"/>
    <w:rsid w:val="00B42F69"/>
    <w:rsid w:val="00B430DB"/>
    <w:rsid w:val="00B438F8"/>
    <w:rsid w:val="00B43A92"/>
    <w:rsid w:val="00B4440A"/>
    <w:rsid w:val="00B45ACF"/>
    <w:rsid w:val="00B46A45"/>
    <w:rsid w:val="00B46EC7"/>
    <w:rsid w:val="00B47A13"/>
    <w:rsid w:val="00B47F21"/>
    <w:rsid w:val="00B50A91"/>
    <w:rsid w:val="00B50E0D"/>
    <w:rsid w:val="00B50E7D"/>
    <w:rsid w:val="00B51132"/>
    <w:rsid w:val="00B511BF"/>
    <w:rsid w:val="00B51331"/>
    <w:rsid w:val="00B5160B"/>
    <w:rsid w:val="00B51761"/>
    <w:rsid w:val="00B51871"/>
    <w:rsid w:val="00B52022"/>
    <w:rsid w:val="00B52187"/>
    <w:rsid w:val="00B52786"/>
    <w:rsid w:val="00B5303E"/>
    <w:rsid w:val="00B53500"/>
    <w:rsid w:val="00B54054"/>
    <w:rsid w:val="00B541C4"/>
    <w:rsid w:val="00B54691"/>
    <w:rsid w:val="00B5478A"/>
    <w:rsid w:val="00B5499C"/>
    <w:rsid w:val="00B54F02"/>
    <w:rsid w:val="00B55707"/>
    <w:rsid w:val="00B56719"/>
    <w:rsid w:val="00B569D3"/>
    <w:rsid w:val="00B56D54"/>
    <w:rsid w:val="00B57810"/>
    <w:rsid w:val="00B6093E"/>
    <w:rsid w:val="00B609C2"/>
    <w:rsid w:val="00B60CCD"/>
    <w:rsid w:val="00B6142E"/>
    <w:rsid w:val="00B6216D"/>
    <w:rsid w:val="00B62854"/>
    <w:rsid w:val="00B628F8"/>
    <w:rsid w:val="00B629F0"/>
    <w:rsid w:val="00B62EF1"/>
    <w:rsid w:val="00B6341B"/>
    <w:rsid w:val="00B6390B"/>
    <w:rsid w:val="00B63F3D"/>
    <w:rsid w:val="00B640CC"/>
    <w:rsid w:val="00B64208"/>
    <w:rsid w:val="00B645B6"/>
    <w:rsid w:val="00B6488A"/>
    <w:rsid w:val="00B64B2F"/>
    <w:rsid w:val="00B64C00"/>
    <w:rsid w:val="00B65197"/>
    <w:rsid w:val="00B6595C"/>
    <w:rsid w:val="00B65993"/>
    <w:rsid w:val="00B65A58"/>
    <w:rsid w:val="00B65AC7"/>
    <w:rsid w:val="00B667BF"/>
    <w:rsid w:val="00B66923"/>
    <w:rsid w:val="00B674D6"/>
    <w:rsid w:val="00B67951"/>
    <w:rsid w:val="00B6797D"/>
    <w:rsid w:val="00B67B04"/>
    <w:rsid w:val="00B70933"/>
    <w:rsid w:val="00B71747"/>
    <w:rsid w:val="00B71819"/>
    <w:rsid w:val="00B719E9"/>
    <w:rsid w:val="00B71F30"/>
    <w:rsid w:val="00B7205E"/>
    <w:rsid w:val="00B723FE"/>
    <w:rsid w:val="00B7245B"/>
    <w:rsid w:val="00B7299F"/>
    <w:rsid w:val="00B72D4B"/>
    <w:rsid w:val="00B730B9"/>
    <w:rsid w:val="00B73101"/>
    <w:rsid w:val="00B733FB"/>
    <w:rsid w:val="00B735B8"/>
    <w:rsid w:val="00B73F56"/>
    <w:rsid w:val="00B746F7"/>
    <w:rsid w:val="00B74761"/>
    <w:rsid w:val="00B74858"/>
    <w:rsid w:val="00B74D76"/>
    <w:rsid w:val="00B7507A"/>
    <w:rsid w:val="00B752EB"/>
    <w:rsid w:val="00B7621F"/>
    <w:rsid w:val="00B773F3"/>
    <w:rsid w:val="00B77BE4"/>
    <w:rsid w:val="00B8004D"/>
    <w:rsid w:val="00B801D4"/>
    <w:rsid w:val="00B8096D"/>
    <w:rsid w:val="00B81110"/>
    <w:rsid w:val="00B811D7"/>
    <w:rsid w:val="00B812BE"/>
    <w:rsid w:val="00B813D5"/>
    <w:rsid w:val="00B8140D"/>
    <w:rsid w:val="00B8206E"/>
    <w:rsid w:val="00B8258D"/>
    <w:rsid w:val="00B825B4"/>
    <w:rsid w:val="00B82EDA"/>
    <w:rsid w:val="00B831F5"/>
    <w:rsid w:val="00B836B9"/>
    <w:rsid w:val="00B843B8"/>
    <w:rsid w:val="00B84450"/>
    <w:rsid w:val="00B84812"/>
    <w:rsid w:val="00B84AE4"/>
    <w:rsid w:val="00B84E7E"/>
    <w:rsid w:val="00B85089"/>
    <w:rsid w:val="00B85F13"/>
    <w:rsid w:val="00B86608"/>
    <w:rsid w:val="00B86CCD"/>
    <w:rsid w:val="00B86D13"/>
    <w:rsid w:val="00B86F0C"/>
    <w:rsid w:val="00B87847"/>
    <w:rsid w:val="00B90477"/>
    <w:rsid w:val="00B9162C"/>
    <w:rsid w:val="00B91A51"/>
    <w:rsid w:val="00B92295"/>
    <w:rsid w:val="00B92483"/>
    <w:rsid w:val="00B92AA5"/>
    <w:rsid w:val="00B9375C"/>
    <w:rsid w:val="00B93904"/>
    <w:rsid w:val="00B93D5D"/>
    <w:rsid w:val="00B94219"/>
    <w:rsid w:val="00B94426"/>
    <w:rsid w:val="00B950EB"/>
    <w:rsid w:val="00B950FC"/>
    <w:rsid w:val="00B955FE"/>
    <w:rsid w:val="00B956DB"/>
    <w:rsid w:val="00B95732"/>
    <w:rsid w:val="00B95C64"/>
    <w:rsid w:val="00B96274"/>
    <w:rsid w:val="00B96744"/>
    <w:rsid w:val="00B971CE"/>
    <w:rsid w:val="00B97624"/>
    <w:rsid w:val="00B97655"/>
    <w:rsid w:val="00B97935"/>
    <w:rsid w:val="00BA091B"/>
    <w:rsid w:val="00BA0B9F"/>
    <w:rsid w:val="00BA0CFE"/>
    <w:rsid w:val="00BA1990"/>
    <w:rsid w:val="00BA1CCE"/>
    <w:rsid w:val="00BA2B48"/>
    <w:rsid w:val="00BA2F0B"/>
    <w:rsid w:val="00BA3287"/>
    <w:rsid w:val="00BA3D38"/>
    <w:rsid w:val="00BA472A"/>
    <w:rsid w:val="00BA4C13"/>
    <w:rsid w:val="00BA4F92"/>
    <w:rsid w:val="00BA56F1"/>
    <w:rsid w:val="00BA5EC8"/>
    <w:rsid w:val="00BA5F8E"/>
    <w:rsid w:val="00BA623B"/>
    <w:rsid w:val="00BA6419"/>
    <w:rsid w:val="00BA6550"/>
    <w:rsid w:val="00BA76BE"/>
    <w:rsid w:val="00BB206E"/>
    <w:rsid w:val="00BB22D6"/>
    <w:rsid w:val="00BB3642"/>
    <w:rsid w:val="00BB3F98"/>
    <w:rsid w:val="00BB405E"/>
    <w:rsid w:val="00BB4321"/>
    <w:rsid w:val="00BB4A3B"/>
    <w:rsid w:val="00BB4B74"/>
    <w:rsid w:val="00BB4C29"/>
    <w:rsid w:val="00BB541C"/>
    <w:rsid w:val="00BB59F6"/>
    <w:rsid w:val="00BB5EF0"/>
    <w:rsid w:val="00BB66AB"/>
    <w:rsid w:val="00BB6F3C"/>
    <w:rsid w:val="00BB7886"/>
    <w:rsid w:val="00BB78A0"/>
    <w:rsid w:val="00BB7BBA"/>
    <w:rsid w:val="00BC046B"/>
    <w:rsid w:val="00BC04C2"/>
    <w:rsid w:val="00BC07CC"/>
    <w:rsid w:val="00BC0801"/>
    <w:rsid w:val="00BC0AD6"/>
    <w:rsid w:val="00BC122E"/>
    <w:rsid w:val="00BC22C6"/>
    <w:rsid w:val="00BC2384"/>
    <w:rsid w:val="00BC303F"/>
    <w:rsid w:val="00BC3584"/>
    <w:rsid w:val="00BC3892"/>
    <w:rsid w:val="00BC3F04"/>
    <w:rsid w:val="00BC4200"/>
    <w:rsid w:val="00BC4446"/>
    <w:rsid w:val="00BC46F8"/>
    <w:rsid w:val="00BC4CDC"/>
    <w:rsid w:val="00BC5838"/>
    <w:rsid w:val="00BC6DC2"/>
    <w:rsid w:val="00BD0923"/>
    <w:rsid w:val="00BD0E2E"/>
    <w:rsid w:val="00BD239E"/>
    <w:rsid w:val="00BD2CEC"/>
    <w:rsid w:val="00BD35F1"/>
    <w:rsid w:val="00BD3F71"/>
    <w:rsid w:val="00BD42AD"/>
    <w:rsid w:val="00BD4633"/>
    <w:rsid w:val="00BD5562"/>
    <w:rsid w:val="00BD5B0D"/>
    <w:rsid w:val="00BD6CA5"/>
    <w:rsid w:val="00BD6F4D"/>
    <w:rsid w:val="00BD6FD3"/>
    <w:rsid w:val="00BD7D71"/>
    <w:rsid w:val="00BE043E"/>
    <w:rsid w:val="00BE08CC"/>
    <w:rsid w:val="00BE0BAC"/>
    <w:rsid w:val="00BE0F01"/>
    <w:rsid w:val="00BE116C"/>
    <w:rsid w:val="00BE1C33"/>
    <w:rsid w:val="00BE2751"/>
    <w:rsid w:val="00BE442D"/>
    <w:rsid w:val="00BE4ED6"/>
    <w:rsid w:val="00BE514D"/>
    <w:rsid w:val="00BE5247"/>
    <w:rsid w:val="00BE54F3"/>
    <w:rsid w:val="00BE5DA7"/>
    <w:rsid w:val="00BE5DE8"/>
    <w:rsid w:val="00BE5EBE"/>
    <w:rsid w:val="00BE5F67"/>
    <w:rsid w:val="00BE613F"/>
    <w:rsid w:val="00BE7008"/>
    <w:rsid w:val="00BE74AF"/>
    <w:rsid w:val="00BE78FE"/>
    <w:rsid w:val="00BE7920"/>
    <w:rsid w:val="00BF0957"/>
    <w:rsid w:val="00BF1095"/>
    <w:rsid w:val="00BF11AE"/>
    <w:rsid w:val="00BF1DAE"/>
    <w:rsid w:val="00BF1E46"/>
    <w:rsid w:val="00BF2A3A"/>
    <w:rsid w:val="00BF2CD1"/>
    <w:rsid w:val="00BF34D3"/>
    <w:rsid w:val="00BF3649"/>
    <w:rsid w:val="00BF3FA3"/>
    <w:rsid w:val="00BF4B6A"/>
    <w:rsid w:val="00BF5135"/>
    <w:rsid w:val="00BF5415"/>
    <w:rsid w:val="00BF5B8B"/>
    <w:rsid w:val="00BF6B54"/>
    <w:rsid w:val="00BF7B62"/>
    <w:rsid w:val="00C0023D"/>
    <w:rsid w:val="00C00312"/>
    <w:rsid w:val="00C003D6"/>
    <w:rsid w:val="00C00828"/>
    <w:rsid w:val="00C009F5"/>
    <w:rsid w:val="00C00C42"/>
    <w:rsid w:val="00C01129"/>
    <w:rsid w:val="00C011FE"/>
    <w:rsid w:val="00C01DD9"/>
    <w:rsid w:val="00C02239"/>
    <w:rsid w:val="00C022E1"/>
    <w:rsid w:val="00C02EF1"/>
    <w:rsid w:val="00C033B2"/>
    <w:rsid w:val="00C0398D"/>
    <w:rsid w:val="00C039F6"/>
    <w:rsid w:val="00C054BE"/>
    <w:rsid w:val="00C05861"/>
    <w:rsid w:val="00C05C3D"/>
    <w:rsid w:val="00C05EE6"/>
    <w:rsid w:val="00C06F29"/>
    <w:rsid w:val="00C071AC"/>
    <w:rsid w:val="00C0723D"/>
    <w:rsid w:val="00C07EFE"/>
    <w:rsid w:val="00C10278"/>
    <w:rsid w:val="00C109A2"/>
    <w:rsid w:val="00C11707"/>
    <w:rsid w:val="00C11E4C"/>
    <w:rsid w:val="00C123D4"/>
    <w:rsid w:val="00C12867"/>
    <w:rsid w:val="00C129D5"/>
    <w:rsid w:val="00C12F89"/>
    <w:rsid w:val="00C133BD"/>
    <w:rsid w:val="00C13DF9"/>
    <w:rsid w:val="00C14259"/>
    <w:rsid w:val="00C14954"/>
    <w:rsid w:val="00C14E3C"/>
    <w:rsid w:val="00C157E8"/>
    <w:rsid w:val="00C173FC"/>
    <w:rsid w:val="00C179B0"/>
    <w:rsid w:val="00C17FBB"/>
    <w:rsid w:val="00C20245"/>
    <w:rsid w:val="00C209E5"/>
    <w:rsid w:val="00C20CA6"/>
    <w:rsid w:val="00C2199F"/>
    <w:rsid w:val="00C21AD6"/>
    <w:rsid w:val="00C21F37"/>
    <w:rsid w:val="00C226F9"/>
    <w:rsid w:val="00C230A4"/>
    <w:rsid w:val="00C23398"/>
    <w:rsid w:val="00C236AF"/>
    <w:rsid w:val="00C238DC"/>
    <w:rsid w:val="00C23B23"/>
    <w:rsid w:val="00C2428B"/>
    <w:rsid w:val="00C24381"/>
    <w:rsid w:val="00C2660B"/>
    <w:rsid w:val="00C26C22"/>
    <w:rsid w:val="00C27102"/>
    <w:rsid w:val="00C273A3"/>
    <w:rsid w:val="00C27B03"/>
    <w:rsid w:val="00C3004E"/>
    <w:rsid w:val="00C3089B"/>
    <w:rsid w:val="00C31646"/>
    <w:rsid w:val="00C3179C"/>
    <w:rsid w:val="00C321D3"/>
    <w:rsid w:val="00C3378A"/>
    <w:rsid w:val="00C33A34"/>
    <w:rsid w:val="00C34B40"/>
    <w:rsid w:val="00C34F46"/>
    <w:rsid w:val="00C352FE"/>
    <w:rsid w:val="00C35836"/>
    <w:rsid w:val="00C35AB5"/>
    <w:rsid w:val="00C3647C"/>
    <w:rsid w:val="00C36503"/>
    <w:rsid w:val="00C3651C"/>
    <w:rsid w:val="00C36792"/>
    <w:rsid w:val="00C373EF"/>
    <w:rsid w:val="00C37469"/>
    <w:rsid w:val="00C37C71"/>
    <w:rsid w:val="00C37E6F"/>
    <w:rsid w:val="00C40C94"/>
    <w:rsid w:val="00C41146"/>
    <w:rsid w:val="00C416DB"/>
    <w:rsid w:val="00C41CD3"/>
    <w:rsid w:val="00C41D95"/>
    <w:rsid w:val="00C429AD"/>
    <w:rsid w:val="00C42A61"/>
    <w:rsid w:val="00C43438"/>
    <w:rsid w:val="00C43AFE"/>
    <w:rsid w:val="00C44264"/>
    <w:rsid w:val="00C444E8"/>
    <w:rsid w:val="00C444EB"/>
    <w:rsid w:val="00C44677"/>
    <w:rsid w:val="00C44D9C"/>
    <w:rsid w:val="00C451C3"/>
    <w:rsid w:val="00C45285"/>
    <w:rsid w:val="00C453F7"/>
    <w:rsid w:val="00C454DA"/>
    <w:rsid w:val="00C456FF"/>
    <w:rsid w:val="00C45986"/>
    <w:rsid w:val="00C46251"/>
    <w:rsid w:val="00C46577"/>
    <w:rsid w:val="00C46D0E"/>
    <w:rsid w:val="00C46D1D"/>
    <w:rsid w:val="00C478FA"/>
    <w:rsid w:val="00C4790F"/>
    <w:rsid w:val="00C47BDB"/>
    <w:rsid w:val="00C47FC0"/>
    <w:rsid w:val="00C47FDE"/>
    <w:rsid w:val="00C50891"/>
    <w:rsid w:val="00C50C23"/>
    <w:rsid w:val="00C50F2E"/>
    <w:rsid w:val="00C5110B"/>
    <w:rsid w:val="00C5189F"/>
    <w:rsid w:val="00C51B96"/>
    <w:rsid w:val="00C51DEE"/>
    <w:rsid w:val="00C528CC"/>
    <w:rsid w:val="00C530AA"/>
    <w:rsid w:val="00C53210"/>
    <w:rsid w:val="00C53ABD"/>
    <w:rsid w:val="00C53AD3"/>
    <w:rsid w:val="00C53C94"/>
    <w:rsid w:val="00C53E48"/>
    <w:rsid w:val="00C54EAD"/>
    <w:rsid w:val="00C565BF"/>
    <w:rsid w:val="00C56FEC"/>
    <w:rsid w:val="00C5702D"/>
    <w:rsid w:val="00C5743E"/>
    <w:rsid w:val="00C57741"/>
    <w:rsid w:val="00C57DCB"/>
    <w:rsid w:val="00C602D9"/>
    <w:rsid w:val="00C6074F"/>
    <w:rsid w:val="00C60C7F"/>
    <w:rsid w:val="00C6148D"/>
    <w:rsid w:val="00C619F4"/>
    <w:rsid w:val="00C62568"/>
    <w:rsid w:val="00C6296C"/>
    <w:rsid w:val="00C62A10"/>
    <w:rsid w:val="00C631BA"/>
    <w:rsid w:val="00C64143"/>
    <w:rsid w:val="00C6434D"/>
    <w:rsid w:val="00C643FD"/>
    <w:rsid w:val="00C64A35"/>
    <w:rsid w:val="00C652E5"/>
    <w:rsid w:val="00C65E49"/>
    <w:rsid w:val="00C66277"/>
    <w:rsid w:val="00C664B5"/>
    <w:rsid w:val="00C66567"/>
    <w:rsid w:val="00C66FE0"/>
    <w:rsid w:val="00C67446"/>
    <w:rsid w:val="00C675AB"/>
    <w:rsid w:val="00C67BB1"/>
    <w:rsid w:val="00C67C7A"/>
    <w:rsid w:val="00C67E87"/>
    <w:rsid w:val="00C70181"/>
    <w:rsid w:val="00C702B4"/>
    <w:rsid w:val="00C70962"/>
    <w:rsid w:val="00C71674"/>
    <w:rsid w:val="00C71758"/>
    <w:rsid w:val="00C71DFC"/>
    <w:rsid w:val="00C720C7"/>
    <w:rsid w:val="00C724C0"/>
    <w:rsid w:val="00C7325D"/>
    <w:rsid w:val="00C733F7"/>
    <w:rsid w:val="00C736B6"/>
    <w:rsid w:val="00C73969"/>
    <w:rsid w:val="00C73D83"/>
    <w:rsid w:val="00C73E96"/>
    <w:rsid w:val="00C74FE3"/>
    <w:rsid w:val="00C752CA"/>
    <w:rsid w:val="00C757B9"/>
    <w:rsid w:val="00C75FE1"/>
    <w:rsid w:val="00C7697F"/>
    <w:rsid w:val="00C76B08"/>
    <w:rsid w:val="00C76B5D"/>
    <w:rsid w:val="00C76DD5"/>
    <w:rsid w:val="00C80111"/>
    <w:rsid w:val="00C801AD"/>
    <w:rsid w:val="00C80A83"/>
    <w:rsid w:val="00C8136C"/>
    <w:rsid w:val="00C81707"/>
    <w:rsid w:val="00C81831"/>
    <w:rsid w:val="00C81D3E"/>
    <w:rsid w:val="00C826B5"/>
    <w:rsid w:val="00C82791"/>
    <w:rsid w:val="00C82E7B"/>
    <w:rsid w:val="00C82FAC"/>
    <w:rsid w:val="00C82FFA"/>
    <w:rsid w:val="00C838A9"/>
    <w:rsid w:val="00C83F04"/>
    <w:rsid w:val="00C84032"/>
    <w:rsid w:val="00C847E6"/>
    <w:rsid w:val="00C84A1B"/>
    <w:rsid w:val="00C84C27"/>
    <w:rsid w:val="00C85521"/>
    <w:rsid w:val="00C856C0"/>
    <w:rsid w:val="00C863EE"/>
    <w:rsid w:val="00C86859"/>
    <w:rsid w:val="00C9014A"/>
    <w:rsid w:val="00C90B0B"/>
    <w:rsid w:val="00C91E0D"/>
    <w:rsid w:val="00C92646"/>
    <w:rsid w:val="00C92972"/>
    <w:rsid w:val="00C92BD2"/>
    <w:rsid w:val="00C92FA1"/>
    <w:rsid w:val="00C9316A"/>
    <w:rsid w:val="00C93B5E"/>
    <w:rsid w:val="00C94129"/>
    <w:rsid w:val="00C9413B"/>
    <w:rsid w:val="00C94780"/>
    <w:rsid w:val="00C94C93"/>
    <w:rsid w:val="00C95A2A"/>
    <w:rsid w:val="00C95D8D"/>
    <w:rsid w:val="00C9640F"/>
    <w:rsid w:val="00C966FC"/>
    <w:rsid w:val="00C96940"/>
    <w:rsid w:val="00C96D8A"/>
    <w:rsid w:val="00C97403"/>
    <w:rsid w:val="00C975AE"/>
    <w:rsid w:val="00C97B1E"/>
    <w:rsid w:val="00C97C7F"/>
    <w:rsid w:val="00CA06DD"/>
    <w:rsid w:val="00CA2283"/>
    <w:rsid w:val="00CA2AEF"/>
    <w:rsid w:val="00CA2CA3"/>
    <w:rsid w:val="00CA2F66"/>
    <w:rsid w:val="00CA325F"/>
    <w:rsid w:val="00CA33B8"/>
    <w:rsid w:val="00CA3C5E"/>
    <w:rsid w:val="00CA47D6"/>
    <w:rsid w:val="00CA50DD"/>
    <w:rsid w:val="00CA5602"/>
    <w:rsid w:val="00CA5FCD"/>
    <w:rsid w:val="00CA6DD8"/>
    <w:rsid w:val="00CA6DE4"/>
    <w:rsid w:val="00CA76B2"/>
    <w:rsid w:val="00CB0130"/>
    <w:rsid w:val="00CB07B1"/>
    <w:rsid w:val="00CB10EF"/>
    <w:rsid w:val="00CB1454"/>
    <w:rsid w:val="00CB1582"/>
    <w:rsid w:val="00CB1A11"/>
    <w:rsid w:val="00CB218E"/>
    <w:rsid w:val="00CB22AC"/>
    <w:rsid w:val="00CB22B7"/>
    <w:rsid w:val="00CB269C"/>
    <w:rsid w:val="00CB27E6"/>
    <w:rsid w:val="00CB31DA"/>
    <w:rsid w:val="00CB33C0"/>
    <w:rsid w:val="00CB3684"/>
    <w:rsid w:val="00CB3710"/>
    <w:rsid w:val="00CB3BF1"/>
    <w:rsid w:val="00CB45DB"/>
    <w:rsid w:val="00CB5032"/>
    <w:rsid w:val="00CB5A04"/>
    <w:rsid w:val="00CB64FF"/>
    <w:rsid w:val="00CB6C7E"/>
    <w:rsid w:val="00CB6CCD"/>
    <w:rsid w:val="00CB706A"/>
    <w:rsid w:val="00CB7614"/>
    <w:rsid w:val="00CB7DF6"/>
    <w:rsid w:val="00CC042D"/>
    <w:rsid w:val="00CC04B1"/>
    <w:rsid w:val="00CC073B"/>
    <w:rsid w:val="00CC0D50"/>
    <w:rsid w:val="00CC1192"/>
    <w:rsid w:val="00CC128F"/>
    <w:rsid w:val="00CC137C"/>
    <w:rsid w:val="00CC165B"/>
    <w:rsid w:val="00CC2F5C"/>
    <w:rsid w:val="00CC303F"/>
    <w:rsid w:val="00CC3683"/>
    <w:rsid w:val="00CC3C96"/>
    <w:rsid w:val="00CC3F87"/>
    <w:rsid w:val="00CC5238"/>
    <w:rsid w:val="00CC6DE3"/>
    <w:rsid w:val="00CC6FB9"/>
    <w:rsid w:val="00CC7A44"/>
    <w:rsid w:val="00CD0098"/>
    <w:rsid w:val="00CD077C"/>
    <w:rsid w:val="00CD0E9C"/>
    <w:rsid w:val="00CD16AD"/>
    <w:rsid w:val="00CD185D"/>
    <w:rsid w:val="00CD26C9"/>
    <w:rsid w:val="00CD2973"/>
    <w:rsid w:val="00CD342A"/>
    <w:rsid w:val="00CD376E"/>
    <w:rsid w:val="00CD3880"/>
    <w:rsid w:val="00CD3940"/>
    <w:rsid w:val="00CD4143"/>
    <w:rsid w:val="00CD42B7"/>
    <w:rsid w:val="00CD4535"/>
    <w:rsid w:val="00CD485A"/>
    <w:rsid w:val="00CD4E37"/>
    <w:rsid w:val="00CD50C1"/>
    <w:rsid w:val="00CD53D1"/>
    <w:rsid w:val="00CD55E0"/>
    <w:rsid w:val="00CD639F"/>
    <w:rsid w:val="00CE1183"/>
    <w:rsid w:val="00CE29F1"/>
    <w:rsid w:val="00CE2F14"/>
    <w:rsid w:val="00CE3ABE"/>
    <w:rsid w:val="00CE48E0"/>
    <w:rsid w:val="00CE52B8"/>
    <w:rsid w:val="00CE59B4"/>
    <w:rsid w:val="00CE629C"/>
    <w:rsid w:val="00CE63C2"/>
    <w:rsid w:val="00CE6A0B"/>
    <w:rsid w:val="00CE6D89"/>
    <w:rsid w:val="00CE6E6C"/>
    <w:rsid w:val="00CE736A"/>
    <w:rsid w:val="00CE7BF6"/>
    <w:rsid w:val="00CF000E"/>
    <w:rsid w:val="00CF03B6"/>
    <w:rsid w:val="00CF06E1"/>
    <w:rsid w:val="00CF0950"/>
    <w:rsid w:val="00CF0965"/>
    <w:rsid w:val="00CF0D3E"/>
    <w:rsid w:val="00CF1313"/>
    <w:rsid w:val="00CF1453"/>
    <w:rsid w:val="00CF1B85"/>
    <w:rsid w:val="00CF3220"/>
    <w:rsid w:val="00CF3AC0"/>
    <w:rsid w:val="00CF3B07"/>
    <w:rsid w:val="00CF4C13"/>
    <w:rsid w:val="00CF5845"/>
    <w:rsid w:val="00CF62E0"/>
    <w:rsid w:val="00CF6384"/>
    <w:rsid w:val="00CF6902"/>
    <w:rsid w:val="00D00C97"/>
    <w:rsid w:val="00D01B04"/>
    <w:rsid w:val="00D02A9B"/>
    <w:rsid w:val="00D02B8F"/>
    <w:rsid w:val="00D02C2F"/>
    <w:rsid w:val="00D02DE5"/>
    <w:rsid w:val="00D033BF"/>
    <w:rsid w:val="00D033F0"/>
    <w:rsid w:val="00D03CB8"/>
    <w:rsid w:val="00D0401F"/>
    <w:rsid w:val="00D04FD9"/>
    <w:rsid w:val="00D05698"/>
    <w:rsid w:val="00D05C7A"/>
    <w:rsid w:val="00D06460"/>
    <w:rsid w:val="00D06C74"/>
    <w:rsid w:val="00D06E88"/>
    <w:rsid w:val="00D101E3"/>
    <w:rsid w:val="00D10FD7"/>
    <w:rsid w:val="00D11EF3"/>
    <w:rsid w:val="00D11F90"/>
    <w:rsid w:val="00D11F93"/>
    <w:rsid w:val="00D121C2"/>
    <w:rsid w:val="00D123FA"/>
    <w:rsid w:val="00D1241C"/>
    <w:rsid w:val="00D12F43"/>
    <w:rsid w:val="00D130BB"/>
    <w:rsid w:val="00D13263"/>
    <w:rsid w:val="00D13527"/>
    <w:rsid w:val="00D13802"/>
    <w:rsid w:val="00D13C67"/>
    <w:rsid w:val="00D140DD"/>
    <w:rsid w:val="00D14310"/>
    <w:rsid w:val="00D143FA"/>
    <w:rsid w:val="00D14806"/>
    <w:rsid w:val="00D14A71"/>
    <w:rsid w:val="00D14E8E"/>
    <w:rsid w:val="00D155ED"/>
    <w:rsid w:val="00D15CC9"/>
    <w:rsid w:val="00D15E4E"/>
    <w:rsid w:val="00D16335"/>
    <w:rsid w:val="00D174FE"/>
    <w:rsid w:val="00D17601"/>
    <w:rsid w:val="00D2021F"/>
    <w:rsid w:val="00D20757"/>
    <w:rsid w:val="00D20960"/>
    <w:rsid w:val="00D20D57"/>
    <w:rsid w:val="00D20D6E"/>
    <w:rsid w:val="00D2109D"/>
    <w:rsid w:val="00D21300"/>
    <w:rsid w:val="00D21430"/>
    <w:rsid w:val="00D2143C"/>
    <w:rsid w:val="00D216F0"/>
    <w:rsid w:val="00D221F3"/>
    <w:rsid w:val="00D22655"/>
    <w:rsid w:val="00D22B32"/>
    <w:rsid w:val="00D22F7B"/>
    <w:rsid w:val="00D230DC"/>
    <w:rsid w:val="00D234F2"/>
    <w:rsid w:val="00D2395E"/>
    <w:rsid w:val="00D23BE0"/>
    <w:rsid w:val="00D2463D"/>
    <w:rsid w:val="00D249B5"/>
    <w:rsid w:val="00D24A33"/>
    <w:rsid w:val="00D25B57"/>
    <w:rsid w:val="00D26403"/>
    <w:rsid w:val="00D26B06"/>
    <w:rsid w:val="00D26C9A"/>
    <w:rsid w:val="00D27332"/>
    <w:rsid w:val="00D303E8"/>
    <w:rsid w:val="00D30865"/>
    <w:rsid w:val="00D30CB4"/>
    <w:rsid w:val="00D3178F"/>
    <w:rsid w:val="00D31BA6"/>
    <w:rsid w:val="00D335E1"/>
    <w:rsid w:val="00D33689"/>
    <w:rsid w:val="00D351AC"/>
    <w:rsid w:val="00D3545E"/>
    <w:rsid w:val="00D358B6"/>
    <w:rsid w:val="00D35C03"/>
    <w:rsid w:val="00D35FEA"/>
    <w:rsid w:val="00D36341"/>
    <w:rsid w:val="00D366E4"/>
    <w:rsid w:val="00D37FF6"/>
    <w:rsid w:val="00D40F8A"/>
    <w:rsid w:val="00D4230C"/>
    <w:rsid w:val="00D423AC"/>
    <w:rsid w:val="00D427DF"/>
    <w:rsid w:val="00D42D38"/>
    <w:rsid w:val="00D4473B"/>
    <w:rsid w:val="00D44B15"/>
    <w:rsid w:val="00D44B7E"/>
    <w:rsid w:val="00D44DC6"/>
    <w:rsid w:val="00D45232"/>
    <w:rsid w:val="00D45252"/>
    <w:rsid w:val="00D452D3"/>
    <w:rsid w:val="00D45868"/>
    <w:rsid w:val="00D45D49"/>
    <w:rsid w:val="00D45EBD"/>
    <w:rsid w:val="00D46681"/>
    <w:rsid w:val="00D46749"/>
    <w:rsid w:val="00D46D22"/>
    <w:rsid w:val="00D4736B"/>
    <w:rsid w:val="00D476EA"/>
    <w:rsid w:val="00D479C1"/>
    <w:rsid w:val="00D5090B"/>
    <w:rsid w:val="00D50BE7"/>
    <w:rsid w:val="00D514E5"/>
    <w:rsid w:val="00D5170F"/>
    <w:rsid w:val="00D51E8E"/>
    <w:rsid w:val="00D52982"/>
    <w:rsid w:val="00D532F6"/>
    <w:rsid w:val="00D5353D"/>
    <w:rsid w:val="00D53589"/>
    <w:rsid w:val="00D538C7"/>
    <w:rsid w:val="00D539D5"/>
    <w:rsid w:val="00D53DE7"/>
    <w:rsid w:val="00D544D5"/>
    <w:rsid w:val="00D5462B"/>
    <w:rsid w:val="00D54D30"/>
    <w:rsid w:val="00D55D01"/>
    <w:rsid w:val="00D561BF"/>
    <w:rsid w:val="00D56639"/>
    <w:rsid w:val="00D569E2"/>
    <w:rsid w:val="00D570BA"/>
    <w:rsid w:val="00D57897"/>
    <w:rsid w:val="00D57A94"/>
    <w:rsid w:val="00D57D5D"/>
    <w:rsid w:val="00D602DE"/>
    <w:rsid w:val="00D6096A"/>
    <w:rsid w:val="00D60ABE"/>
    <w:rsid w:val="00D60CE5"/>
    <w:rsid w:val="00D610D4"/>
    <w:rsid w:val="00D61811"/>
    <w:rsid w:val="00D61CA6"/>
    <w:rsid w:val="00D61E5E"/>
    <w:rsid w:val="00D626BC"/>
    <w:rsid w:val="00D626D5"/>
    <w:rsid w:val="00D6271D"/>
    <w:rsid w:val="00D63074"/>
    <w:rsid w:val="00D630D4"/>
    <w:rsid w:val="00D633A9"/>
    <w:rsid w:val="00D636D8"/>
    <w:rsid w:val="00D63B95"/>
    <w:rsid w:val="00D63F9F"/>
    <w:rsid w:val="00D646D3"/>
    <w:rsid w:val="00D64A0D"/>
    <w:rsid w:val="00D64E7E"/>
    <w:rsid w:val="00D65262"/>
    <w:rsid w:val="00D65E3B"/>
    <w:rsid w:val="00D662F2"/>
    <w:rsid w:val="00D665F1"/>
    <w:rsid w:val="00D6711E"/>
    <w:rsid w:val="00D6760D"/>
    <w:rsid w:val="00D70421"/>
    <w:rsid w:val="00D71B92"/>
    <w:rsid w:val="00D71FB3"/>
    <w:rsid w:val="00D72A05"/>
    <w:rsid w:val="00D72C1A"/>
    <w:rsid w:val="00D72FC9"/>
    <w:rsid w:val="00D730D4"/>
    <w:rsid w:val="00D73B08"/>
    <w:rsid w:val="00D7487A"/>
    <w:rsid w:val="00D74A1E"/>
    <w:rsid w:val="00D75E0E"/>
    <w:rsid w:val="00D76DE3"/>
    <w:rsid w:val="00D80127"/>
    <w:rsid w:val="00D804E2"/>
    <w:rsid w:val="00D805D1"/>
    <w:rsid w:val="00D80686"/>
    <w:rsid w:val="00D81FB3"/>
    <w:rsid w:val="00D8268D"/>
    <w:rsid w:val="00D82BE0"/>
    <w:rsid w:val="00D82F54"/>
    <w:rsid w:val="00D82FD7"/>
    <w:rsid w:val="00D84196"/>
    <w:rsid w:val="00D849AA"/>
    <w:rsid w:val="00D84C7B"/>
    <w:rsid w:val="00D84EF7"/>
    <w:rsid w:val="00D84FA6"/>
    <w:rsid w:val="00D851D6"/>
    <w:rsid w:val="00D85C5F"/>
    <w:rsid w:val="00D85ECC"/>
    <w:rsid w:val="00D860AE"/>
    <w:rsid w:val="00D864C7"/>
    <w:rsid w:val="00D865B4"/>
    <w:rsid w:val="00D86B67"/>
    <w:rsid w:val="00D86EB7"/>
    <w:rsid w:val="00D879B5"/>
    <w:rsid w:val="00D879F5"/>
    <w:rsid w:val="00D91280"/>
    <w:rsid w:val="00D91CCD"/>
    <w:rsid w:val="00D91E9F"/>
    <w:rsid w:val="00D92025"/>
    <w:rsid w:val="00D9204D"/>
    <w:rsid w:val="00D92098"/>
    <w:rsid w:val="00D92B5E"/>
    <w:rsid w:val="00D92F8E"/>
    <w:rsid w:val="00D93388"/>
    <w:rsid w:val="00D934E6"/>
    <w:rsid w:val="00D938B5"/>
    <w:rsid w:val="00D93C62"/>
    <w:rsid w:val="00D93CFF"/>
    <w:rsid w:val="00D93F2E"/>
    <w:rsid w:val="00D94E2F"/>
    <w:rsid w:val="00D952A8"/>
    <w:rsid w:val="00D95457"/>
    <w:rsid w:val="00D95AEF"/>
    <w:rsid w:val="00D966EC"/>
    <w:rsid w:val="00D9675F"/>
    <w:rsid w:val="00D96F66"/>
    <w:rsid w:val="00D978D3"/>
    <w:rsid w:val="00D97A7B"/>
    <w:rsid w:val="00DA08B3"/>
    <w:rsid w:val="00DA095C"/>
    <w:rsid w:val="00DA1259"/>
    <w:rsid w:val="00DA13E8"/>
    <w:rsid w:val="00DA1AAD"/>
    <w:rsid w:val="00DA1E08"/>
    <w:rsid w:val="00DA29A4"/>
    <w:rsid w:val="00DA30B9"/>
    <w:rsid w:val="00DA4A52"/>
    <w:rsid w:val="00DA4FBC"/>
    <w:rsid w:val="00DA53E7"/>
    <w:rsid w:val="00DA5463"/>
    <w:rsid w:val="00DA61B9"/>
    <w:rsid w:val="00DA651C"/>
    <w:rsid w:val="00DA6A88"/>
    <w:rsid w:val="00DA6D48"/>
    <w:rsid w:val="00DA6FB1"/>
    <w:rsid w:val="00DA72BC"/>
    <w:rsid w:val="00DA7457"/>
    <w:rsid w:val="00DA793B"/>
    <w:rsid w:val="00DB08BC"/>
    <w:rsid w:val="00DB1083"/>
    <w:rsid w:val="00DB1A65"/>
    <w:rsid w:val="00DB1B31"/>
    <w:rsid w:val="00DB1C3E"/>
    <w:rsid w:val="00DB1E63"/>
    <w:rsid w:val="00DB2334"/>
    <w:rsid w:val="00DB2823"/>
    <w:rsid w:val="00DB2995"/>
    <w:rsid w:val="00DB2B69"/>
    <w:rsid w:val="00DB2EAE"/>
    <w:rsid w:val="00DB2ED0"/>
    <w:rsid w:val="00DB3149"/>
    <w:rsid w:val="00DB38F0"/>
    <w:rsid w:val="00DB3BC3"/>
    <w:rsid w:val="00DB3EE8"/>
    <w:rsid w:val="00DB4701"/>
    <w:rsid w:val="00DB4E76"/>
    <w:rsid w:val="00DB502A"/>
    <w:rsid w:val="00DB5223"/>
    <w:rsid w:val="00DB5861"/>
    <w:rsid w:val="00DB5882"/>
    <w:rsid w:val="00DB59C0"/>
    <w:rsid w:val="00DB63B5"/>
    <w:rsid w:val="00DB6BD4"/>
    <w:rsid w:val="00DB7EE2"/>
    <w:rsid w:val="00DC0146"/>
    <w:rsid w:val="00DC03EE"/>
    <w:rsid w:val="00DC081A"/>
    <w:rsid w:val="00DC0987"/>
    <w:rsid w:val="00DC1107"/>
    <w:rsid w:val="00DC119C"/>
    <w:rsid w:val="00DC21B1"/>
    <w:rsid w:val="00DC2B54"/>
    <w:rsid w:val="00DC2F0C"/>
    <w:rsid w:val="00DC36B8"/>
    <w:rsid w:val="00DC42CB"/>
    <w:rsid w:val="00DC4F69"/>
    <w:rsid w:val="00DC5109"/>
    <w:rsid w:val="00DC53F2"/>
    <w:rsid w:val="00DC5E08"/>
    <w:rsid w:val="00DC63E5"/>
    <w:rsid w:val="00DC64A3"/>
    <w:rsid w:val="00DC6B01"/>
    <w:rsid w:val="00DC7431"/>
    <w:rsid w:val="00DC754B"/>
    <w:rsid w:val="00DC7797"/>
    <w:rsid w:val="00DC7B00"/>
    <w:rsid w:val="00DC7E53"/>
    <w:rsid w:val="00DD0041"/>
    <w:rsid w:val="00DD0394"/>
    <w:rsid w:val="00DD0423"/>
    <w:rsid w:val="00DD078A"/>
    <w:rsid w:val="00DD0EA5"/>
    <w:rsid w:val="00DD1537"/>
    <w:rsid w:val="00DD1737"/>
    <w:rsid w:val="00DD1A28"/>
    <w:rsid w:val="00DD2932"/>
    <w:rsid w:val="00DD29C7"/>
    <w:rsid w:val="00DD2CDD"/>
    <w:rsid w:val="00DD2F4D"/>
    <w:rsid w:val="00DD34E1"/>
    <w:rsid w:val="00DD35B5"/>
    <w:rsid w:val="00DD35E5"/>
    <w:rsid w:val="00DD45E7"/>
    <w:rsid w:val="00DD5742"/>
    <w:rsid w:val="00DD5A2A"/>
    <w:rsid w:val="00DD5C6A"/>
    <w:rsid w:val="00DD6B18"/>
    <w:rsid w:val="00DD6F39"/>
    <w:rsid w:val="00DD71F6"/>
    <w:rsid w:val="00DD7667"/>
    <w:rsid w:val="00DD777C"/>
    <w:rsid w:val="00DE01EA"/>
    <w:rsid w:val="00DE06DC"/>
    <w:rsid w:val="00DE0ACA"/>
    <w:rsid w:val="00DE0D2F"/>
    <w:rsid w:val="00DE0D75"/>
    <w:rsid w:val="00DE0E95"/>
    <w:rsid w:val="00DE11F2"/>
    <w:rsid w:val="00DE19EB"/>
    <w:rsid w:val="00DE1A3E"/>
    <w:rsid w:val="00DE2896"/>
    <w:rsid w:val="00DE34DD"/>
    <w:rsid w:val="00DE363C"/>
    <w:rsid w:val="00DE462B"/>
    <w:rsid w:val="00DE4D09"/>
    <w:rsid w:val="00DE597B"/>
    <w:rsid w:val="00DE5B0F"/>
    <w:rsid w:val="00DE61AB"/>
    <w:rsid w:val="00DE6803"/>
    <w:rsid w:val="00DE7AF1"/>
    <w:rsid w:val="00DF0213"/>
    <w:rsid w:val="00DF0416"/>
    <w:rsid w:val="00DF0501"/>
    <w:rsid w:val="00DF054B"/>
    <w:rsid w:val="00DF0C9A"/>
    <w:rsid w:val="00DF0F8C"/>
    <w:rsid w:val="00DF0FE3"/>
    <w:rsid w:val="00DF1B09"/>
    <w:rsid w:val="00DF23DA"/>
    <w:rsid w:val="00DF28C0"/>
    <w:rsid w:val="00DF2CB1"/>
    <w:rsid w:val="00DF3B4D"/>
    <w:rsid w:val="00DF41AB"/>
    <w:rsid w:val="00DF4B2E"/>
    <w:rsid w:val="00DF56A1"/>
    <w:rsid w:val="00DF583A"/>
    <w:rsid w:val="00DF64FE"/>
    <w:rsid w:val="00DF68F2"/>
    <w:rsid w:val="00DF69F9"/>
    <w:rsid w:val="00DF6DEB"/>
    <w:rsid w:val="00DF70BC"/>
    <w:rsid w:val="00DF7112"/>
    <w:rsid w:val="00E000B8"/>
    <w:rsid w:val="00E02098"/>
    <w:rsid w:val="00E02579"/>
    <w:rsid w:val="00E02B50"/>
    <w:rsid w:val="00E04B3F"/>
    <w:rsid w:val="00E04DD6"/>
    <w:rsid w:val="00E0515B"/>
    <w:rsid w:val="00E05B15"/>
    <w:rsid w:val="00E060C1"/>
    <w:rsid w:val="00E06B1E"/>
    <w:rsid w:val="00E07717"/>
    <w:rsid w:val="00E07787"/>
    <w:rsid w:val="00E07CA7"/>
    <w:rsid w:val="00E1008B"/>
    <w:rsid w:val="00E10AAF"/>
    <w:rsid w:val="00E10DD5"/>
    <w:rsid w:val="00E1109A"/>
    <w:rsid w:val="00E11407"/>
    <w:rsid w:val="00E1164C"/>
    <w:rsid w:val="00E11D49"/>
    <w:rsid w:val="00E128C8"/>
    <w:rsid w:val="00E12E4D"/>
    <w:rsid w:val="00E133B8"/>
    <w:rsid w:val="00E13457"/>
    <w:rsid w:val="00E13992"/>
    <w:rsid w:val="00E146AF"/>
    <w:rsid w:val="00E147D5"/>
    <w:rsid w:val="00E14C0E"/>
    <w:rsid w:val="00E156C4"/>
    <w:rsid w:val="00E1654D"/>
    <w:rsid w:val="00E16642"/>
    <w:rsid w:val="00E16D5F"/>
    <w:rsid w:val="00E1787C"/>
    <w:rsid w:val="00E17C89"/>
    <w:rsid w:val="00E20A65"/>
    <w:rsid w:val="00E20FFE"/>
    <w:rsid w:val="00E21FAE"/>
    <w:rsid w:val="00E22054"/>
    <w:rsid w:val="00E2249E"/>
    <w:rsid w:val="00E224BC"/>
    <w:rsid w:val="00E226A8"/>
    <w:rsid w:val="00E22B76"/>
    <w:rsid w:val="00E234F1"/>
    <w:rsid w:val="00E23C25"/>
    <w:rsid w:val="00E2406F"/>
    <w:rsid w:val="00E241ED"/>
    <w:rsid w:val="00E24E3A"/>
    <w:rsid w:val="00E25328"/>
    <w:rsid w:val="00E253BB"/>
    <w:rsid w:val="00E255D1"/>
    <w:rsid w:val="00E258B6"/>
    <w:rsid w:val="00E25AF8"/>
    <w:rsid w:val="00E25EE3"/>
    <w:rsid w:val="00E26C55"/>
    <w:rsid w:val="00E26D20"/>
    <w:rsid w:val="00E26F6C"/>
    <w:rsid w:val="00E2724F"/>
    <w:rsid w:val="00E30852"/>
    <w:rsid w:val="00E31403"/>
    <w:rsid w:val="00E3141C"/>
    <w:rsid w:val="00E31BD0"/>
    <w:rsid w:val="00E33618"/>
    <w:rsid w:val="00E33BA4"/>
    <w:rsid w:val="00E34CA3"/>
    <w:rsid w:val="00E35542"/>
    <w:rsid w:val="00E35C4A"/>
    <w:rsid w:val="00E35FB0"/>
    <w:rsid w:val="00E369B7"/>
    <w:rsid w:val="00E379F9"/>
    <w:rsid w:val="00E37A0F"/>
    <w:rsid w:val="00E37DA6"/>
    <w:rsid w:val="00E37FE3"/>
    <w:rsid w:val="00E4079F"/>
    <w:rsid w:val="00E40EB7"/>
    <w:rsid w:val="00E4113B"/>
    <w:rsid w:val="00E43AAA"/>
    <w:rsid w:val="00E43EB5"/>
    <w:rsid w:val="00E44360"/>
    <w:rsid w:val="00E445CB"/>
    <w:rsid w:val="00E4467E"/>
    <w:rsid w:val="00E4498B"/>
    <w:rsid w:val="00E44C62"/>
    <w:rsid w:val="00E44D6E"/>
    <w:rsid w:val="00E479B8"/>
    <w:rsid w:val="00E47E12"/>
    <w:rsid w:val="00E50321"/>
    <w:rsid w:val="00E50A09"/>
    <w:rsid w:val="00E50B01"/>
    <w:rsid w:val="00E5138D"/>
    <w:rsid w:val="00E5179D"/>
    <w:rsid w:val="00E52514"/>
    <w:rsid w:val="00E5387C"/>
    <w:rsid w:val="00E53C7B"/>
    <w:rsid w:val="00E54EF2"/>
    <w:rsid w:val="00E55564"/>
    <w:rsid w:val="00E55568"/>
    <w:rsid w:val="00E56B82"/>
    <w:rsid w:val="00E57671"/>
    <w:rsid w:val="00E57C1C"/>
    <w:rsid w:val="00E57EE6"/>
    <w:rsid w:val="00E604DA"/>
    <w:rsid w:val="00E60DC5"/>
    <w:rsid w:val="00E6123C"/>
    <w:rsid w:val="00E6149E"/>
    <w:rsid w:val="00E61B98"/>
    <w:rsid w:val="00E62279"/>
    <w:rsid w:val="00E630D3"/>
    <w:rsid w:val="00E63559"/>
    <w:rsid w:val="00E637AD"/>
    <w:rsid w:val="00E63954"/>
    <w:rsid w:val="00E64F5E"/>
    <w:rsid w:val="00E65187"/>
    <w:rsid w:val="00E65671"/>
    <w:rsid w:val="00E65EDA"/>
    <w:rsid w:val="00E67180"/>
    <w:rsid w:val="00E671DB"/>
    <w:rsid w:val="00E676E2"/>
    <w:rsid w:val="00E70195"/>
    <w:rsid w:val="00E705B6"/>
    <w:rsid w:val="00E709F4"/>
    <w:rsid w:val="00E70DAF"/>
    <w:rsid w:val="00E70E5A"/>
    <w:rsid w:val="00E7144B"/>
    <w:rsid w:val="00E715CF"/>
    <w:rsid w:val="00E720FA"/>
    <w:rsid w:val="00E729C6"/>
    <w:rsid w:val="00E73EB1"/>
    <w:rsid w:val="00E745E9"/>
    <w:rsid w:val="00E74A3A"/>
    <w:rsid w:val="00E74EBB"/>
    <w:rsid w:val="00E74FA5"/>
    <w:rsid w:val="00E75282"/>
    <w:rsid w:val="00E75516"/>
    <w:rsid w:val="00E75593"/>
    <w:rsid w:val="00E756A8"/>
    <w:rsid w:val="00E76032"/>
    <w:rsid w:val="00E768A4"/>
    <w:rsid w:val="00E768F2"/>
    <w:rsid w:val="00E77E9E"/>
    <w:rsid w:val="00E8008E"/>
    <w:rsid w:val="00E805EE"/>
    <w:rsid w:val="00E80D4E"/>
    <w:rsid w:val="00E81036"/>
    <w:rsid w:val="00E8131D"/>
    <w:rsid w:val="00E81DBD"/>
    <w:rsid w:val="00E81DED"/>
    <w:rsid w:val="00E82316"/>
    <w:rsid w:val="00E825B3"/>
    <w:rsid w:val="00E82C69"/>
    <w:rsid w:val="00E831C8"/>
    <w:rsid w:val="00E834FD"/>
    <w:rsid w:val="00E83F67"/>
    <w:rsid w:val="00E83FBC"/>
    <w:rsid w:val="00E84142"/>
    <w:rsid w:val="00E84499"/>
    <w:rsid w:val="00E8455D"/>
    <w:rsid w:val="00E847CD"/>
    <w:rsid w:val="00E849DE"/>
    <w:rsid w:val="00E8519F"/>
    <w:rsid w:val="00E85948"/>
    <w:rsid w:val="00E860A7"/>
    <w:rsid w:val="00E86457"/>
    <w:rsid w:val="00E86536"/>
    <w:rsid w:val="00E86788"/>
    <w:rsid w:val="00E86B4F"/>
    <w:rsid w:val="00E878D6"/>
    <w:rsid w:val="00E87C77"/>
    <w:rsid w:val="00E913C2"/>
    <w:rsid w:val="00E9167E"/>
    <w:rsid w:val="00E91A50"/>
    <w:rsid w:val="00E922A4"/>
    <w:rsid w:val="00E92324"/>
    <w:rsid w:val="00E925CE"/>
    <w:rsid w:val="00E92762"/>
    <w:rsid w:val="00E93189"/>
    <w:rsid w:val="00E93F3F"/>
    <w:rsid w:val="00E94B7E"/>
    <w:rsid w:val="00E94C5B"/>
    <w:rsid w:val="00E95315"/>
    <w:rsid w:val="00E9547D"/>
    <w:rsid w:val="00E967CB"/>
    <w:rsid w:val="00E96A4A"/>
    <w:rsid w:val="00E96B36"/>
    <w:rsid w:val="00E9708F"/>
    <w:rsid w:val="00E97157"/>
    <w:rsid w:val="00E97711"/>
    <w:rsid w:val="00E97BDF"/>
    <w:rsid w:val="00EA05D9"/>
    <w:rsid w:val="00EA1013"/>
    <w:rsid w:val="00EA1104"/>
    <w:rsid w:val="00EA132B"/>
    <w:rsid w:val="00EA1575"/>
    <w:rsid w:val="00EA2FA3"/>
    <w:rsid w:val="00EA3219"/>
    <w:rsid w:val="00EA3464"/>
    <w:rsid w:val="00EA4451"/>
    <w:rsid w:val="00EA4953"/>
    <w:rsid w:val="00EA4A0E"/>
    <w:rsid w:val="00EA4BC6"/>
    <w:rsid w:val="00EA5257"/>
    <w:rsid w:val="00EA5847"/>
    <w:rsid w:val="00EA59B6"/>
    <w:rsid w:val="00EA6211"/>
    <w:rsid w:val="00EA7415"/>
    <w:rsid w:val="00EA7D64"/>
    <w:rsid w:val="00EB01DD"/>
    <w:rsid w:val="00EB0235"/>
    <w:rsid w:val="00EB03A6"/>
    <w:rsid w:val="00EB0433"/>
    <w:rsid w:val="00EB0F74"/>
    <w:rsid w:val="00EB1B8B"/>
    <w:rsid w:val="00EB24EC"/>
    <w:rsid w:val="00EB2656"/>
    <w:rsid w:val="00EB291F"/>
    <w:rsid w:val="00EB2E24"/>
    <w:rsid w:val="00EB2F92"/>
    <w:rsid w:val="00EB3C54"/>
    <w:rsid w:val="00EB3F6F"/>
    <w:rsid w:val="00EB3FDC"/>
    <w:rsid w:val="00EB4951"/>
    <w:rsid w:val="00EB595B"/>
    <w:rsid w:val="00EB6891"/>
    <w:rsid w:val="00EC01AF"/>
    <w:rsid w:val="00EC038E"/>
    <w:rsid w:val="00EC098E"/>
    <w:rsid w:val="00EC0BCB"/>
    <w:rsid w:val="00EC0E71"/>
    <w:rsid w:val="00EC0EA9"/>
    <w:rsid w:val="00EC1582"/>
    <w:rsid w:val="00EC20A4"/>
    <w:rsid w:val="00EC233A"/>
    <w:rsid w:val="00EC2ECD"/>
    <w:rsid w:val="00EC3389"/>
    <w:rsid w:val="00EC3520"/>
    <w:rsid w:val="00EC3B9C"/>
    <w:rsid w:val="00EC477E"/>
    <w:rsid w:val="00EC4F64"/>
    <w:rsid w:val="00EC4F9C"/>
    <w:rsid w:val="00EC59F3"/>
    <w:rsid w:val="00EC6362"/>
    <w:rsid w:val="00EC64FE"/>
    <w:rsid w:val="00EC658F"/>
    <w:rsid w:val="00EC67F7"/>
    <w:rsid w:val="00EC744C"/>
    <w:rsid w:val="00EC74F5"/>
    <w:rsid w:val="00EC75A2"/>
    <w:rsid w:val="00EC7FF3"/>
    <w:rsid w:val="00EC7FF5"/>
    <w:rsid w:val="00ED0334"/>
    <w:rsid w:val="00ED193D"/>
    <w:rsid w:val="00ED2042"/>
    <w:rsid w:val="00ED2F20"/>
    <w:rsid w:val="00ED3F75"/>
    <w:rsid w:val="00ED450B"/>
    <w:rsid w:val="00ED45F6"/>
    <w:rsid w:val="00ED5256"/>
    <w:rsid w:val="00ED613A"/>
    <w:rsid w:val="00ED61A0"/>
    <w:rsid w:val="00ED6CFA"/>
    <w:rsid w:val="00ED6D53"/>
    <w:rsid w:val="00ED70B7"/>
    <w:rsid w:val="00EE07F8"/>
    <w:rsid w:val="00EE14BA"/>
    <w:rsid w:val="00EE1855"/>
    <w:rsid w:val="00EE1D55"/>
    <w:rsid w:val="00EE1E1F"/>
    <w:rsid w:val="00EE2B68"/>
    <w:rsid w:val="00EE3733"/>
    <w:rsid w:val="00EE384F"/>
    <w:rsid w:val="00EE392C"/>
    <w:rsid w:val="00EE395E"/>
    <w:rsid w:val="00EE3BBB"/>
    <w:rsid w:val="00EE4029"/>
    <w:rsid w:val="00EE428B"/>
    <w:rsid w:val="00EE57CF"/>
    <w:rsid w:val="00EE6D70"/>
    <w:rsid w:val="00EE72C8"/>
    <w:rsid w:val="00EF07C5"/>
    <w:rsid w:val="00EF08EE"/>
    <w:rsid w:val="00EF0A93"/>
    <w:rsid w:val="00EF1386"/>
    <w:rsid w:val="00EF2491"/>
    <w:rsid w:val="00EF2547"/>
    <w:rsid w:val="00EF256B"/>
    <w:rsid w:val="00EF3ACA"/>
    <w:rsid w:val="00EF3C9C"/>
    <w:rsid w:val="00EF3DB8"/>
    <w:rsid w:val="00EF4BCA"/>
    <w:rsid w:val="00EF5277"/>
    <w:rsid w:val="00EF5CAD"/>
    <w:rsid w:val="00EF602D"/>
    <w:rsid w:val="00EF611F"/>
    <w:rsid w:val="00EF70F1"/>
    <w:rsid w:val="00EF7106"/>
    <w:rsid w:val="00EF7383"/>
    <w:rsid w:val="00EF759C"/>
    <w:rsid w:val="00EF76E1"/>
    <w:rsid w:val="00F0035A"/>
    <w:rsid w:val="00F0057E"/>
    <w:rsid w:val="00F02588"/>
    <w:rsid w:val="00F029AF"/>
    <w:rsid w:val="00F04099"/>
    <w:rsid w:val="00F04599"/>
    <w:rsid w:val="00F05067"/>
    <w:rsid w:val="00F0518C"/>
    <w:rsid w:val="00F058A5"/>
    <w:rsid w:val="00F05B36"/>
    <w:rsid w:val="00F05B66"/>
    <w:rsid w:val="00F05DCA"/>
    <w:rsid w:val="00F05E9D"/>
    <w:rsid w:val="00F06195"/>
    <w:rsid w:val="00F07296"/>
    <w:rsid w:val="00F072E4"/>
    <w:rsid w:val="00F07AB9"/>
    <w:rsid w:val="00F1030E"/>
    <w:rsid w:val="00F10792"/>
    <w:rsid w:val="00F10898"/>
    <w:rsid w:val="00F10925"/>
    <w:rsid w:val="00F11E0B"/>
    <w:rsid w:val="00F12093"/>
    <w:rsid w:val="00F12F6C"/>
    <w:rsid w:val="00F1322F"/>
    <w:rsid w:val="00F133AB"/>
    <w:rsid w:val="00F139B7"/>
    <w:rsid w:val="00F139F4"/>
    <w:rsid w:val="00F13DAE"/>
    <w:rsid w:val="00F13DF5"/>
    <w:rsid w:val="00F145D6"/>
    <w:rsid w:val="00F15461"/>
    <w:rsid w:val="00F157D8"/>
    <w:rsid w:val="00F1743C"/>
    <w:rsid w:val="00F17CE6"/>
    <w:rsid w:val="00F2016D"/>
    <w:rsid w:val="00F201AD"/>
    <w:rsid w:val="00F20699"/>
    <w:rsid w:val="00F20BC7"/>
    <w:rsid w:val="00F20C2B"/>
    <w:rsid w:val="00F2109B"/>
    <w:rsid w:val="00F2138E"/>
    <w:rsid w:val="00F21481"/>
    <w:rsid w:val="00F214DA"/>
    <w:rsid w:val="00F21B21"/>
    <w:rsid w:val="00F222BB"/>
    <w:rsid w:val="00F222FE"/>
    <w:rsid w:val="00F235B2"/>
    <w:rsid w:val="00F2378F"/>
    <w:rsid w:val="00F2440F"/>
    <w:rsid w:val="00F24604"/>
    <w:rsid w:val="00F2491A"/>
    <w:rsid w:val="00F24EF6"/>
    <w:rsid w:val="00F254E4"/>
    <w:rsid w:val="00F264EE"/>
    <w:rsid w:val="00F26AAB"/>
    <w:rsid w:val="00F26B02"/>
    <w:rsid w:val="00F26EC1"/>
    <w:rsid w:val="00F26F5D"/>
    <w:rsid w:val="00F27248"/>
    <w:rsid w:val="00F2751E"/>
    <w:rsid w:val="00F3019E"/>
    <w:rsid w:val="00F307F8"/>
    <w:rsid w:val="00F30946"/>
    <w:rsid w:val="00F31071"/>
    <w:rsid w:val="00F313E4"/>
    <w:rsid w:val="00F32048"/>
    <w:rsid w:val="00F32923"/>
    <w:rsid w:val="00F32DB1"/>
    <w:rsid w:val="00F3381E"/>
    <w:rsid w:val="00F33F45"/>
    <w:rsid w:val="00F34C92"/>
    <w:rsid w:val="00F35062"/>
    <w:rsid w:val="00F353A5"/>
    <w:rsid w:val="00F357A7"/>
    <w:rsid w:val="00F35AB8"/>
    <w:rsid w:val="00F35B17"/>
    <w:rsid w:val="00F35B52"/>
    <w:rsid w:val="00F35D19"/>
    <w:rsid w:val="00F366EF"/>
    <w:rsid w:val="00F368C2"/>
    <w:rsid w:val="00F36A7F"/>
    <w:rsid w:val="00F377AE"/>
    <w:rsid w:val="00F37855"/>
    <w:rsid w:val="00F37D87"/>
    <w:rsid w:val="00F402AE"/>
    <w:rsid w:val="00F4059D"/>
    <w:rsid w:val="00F41269"/>
    <w:rsid w:val="00F41319"/>
    <w:rsid w:val="00F430C6"/>
    <w:rsid w:val="00F43403"/>
    <w:rsid w:val="00F438E1"/>
    <w:rsid w:val="00F4391D"/>
    <w:rsid w:val="00F4430E"/>
    <w:rsid w:val="00F44589"/>
    <w:rsid w:val="00F449FE"/>
    <w:rsid w:val="00F44B13"/>
    <w:rsid w:val="00F454B8"/>
    <w:rsid w:val="00F458C4"/>
    <w:rsid w:val="00F45BE7"/>
    <w:rsid w:val="00F46014"/>
    <w:rsid w:val="00F460FA"/>
    <w:rsid w:val="00F463D7"/>
    <w:rsid w:val="00F4645A"/>
    <w:rsid w:val="00F46776"/>
    <w:rsid w:val="00F46AC9"/>
    <w:rsid w:val="00F50163"/>
    <w:rsid w:val="00F502DC"/>
    <w:rsid w:val="00F50444"/>
    <w:rsid w:val="00F510E2"/>
    <w:rsid w:val="00F515F1"/>
    <w:rsid w:val="00F521B7"/>
    <w:rsid w:val="00F5273A"/>
    <w:rsid w:val="00F52D67"/>
    <w:rsid w:val="00F52D6B"/>
    <w:rsid w:val="00F52E18"/>
    <w:rsid w:val="00F5332B"/>
    <w:rsid w:val="00F535E2"/>
    <w:rsid w:val="00F53660"/>
    <w:rsid w:val="00F54291"/>
    <w:rsid w:val="00F54516"/>
    <w:rsid w:val="00F5451A"/>
    <w:rsid w:val="00F546FB"/>
    <w:rsid w:val="00F55335"/>
    <w:rsid w:val="00F55CF7"/>
    <w:rsid w:val="00F567EC"/>
    <w:rsid w:val="00F5770C"/>
    <w:rsid w:val="00F579FB"/>
    <w:rsid w:val="00F57D1C"/>
    <w:rsid w:val="00F6021D"/>
    <w:rsid w:val="00F6077A"/>
    <w:rsid w:val="00F6086A"/>
    <w:rsid w:val="00F614AD"/>
    <w:rsid w:val="00F6169B"/>
    <w:rsid w:val="00F617CD"/>
    <w:rsid w:val="00F6197B"/>
    <w:rsid w:val="00F61C9F"/>
    <w:rsid w:val="00F61CA5"/>
    <w:rsid w:val="00F61F92"/>
    <w:rsid w:val="00F624AC"/>
    <w:rsid w:val="00F62824"/>
    <w:rsid w:val="00F62D00"/>
    <w:rsid w:val="00F62D7C"/>
    <w:rsid w:val="00F634C8"/>
    <w:rsid w:val="00F63B72"/>
    <w:rsid w:val="00F67155"/>
    <w:rsid w:val="00F675D4"/>
    <w:rsid w:val="00F6776C"/>
    <w:rsid w:val="00F6778C"/>
    <w:rsid w:val="00F7058F"/>
    <w:rsid w:val="00F70D21"/>
    <w:rsid w:val="00F70FEF"/>
    <w:rsid w:val="00F71968"/>
    <w:rsid w:val="00F71970"/>
    <w:rsid w:val="00F71BB2"/>
    <w:rsid w:val="00F71F5D"/>
    <w:rsid w:val="00F72345"/>
    <w:rsid w:val="00F728EC"/>
    <w:rsid w:val="00F73313"/>
    <w:rsid w:val="00F73487"/>
    <w:rsid w:val="00F73A31"/>
    <w:rsid w:val="00F73BA3"/>
    <w:rsid w:val="00F73F06"/>
    <w:rsid w:val="00F74F3A"/>
    <w:rsid w:val="00F74F9C"/>
    <w:rsid w:val="00F754EF"/>
    <w:rsid w:val="00F755EF"/>
    <w:rsid w:val="00F75A50"/>
    <w:rsid w:val="00F75BC4"/>
    <w:rsid w:val="00F75C02"/>
    <w:rsid w:val="00F76B21"/>
    <w:rsid w:val="00F77ECB"/>
    <w:rsid w:val="00F80602"/>
    <w:rsid w:val="00F80F47"/>
    <w:rsid w:val="00F815EB"/>
    <w:rsid w:val="00F81936"/>
    <w:rsid w:val="00F81BF8"/>
    <w:rsid w:val="00F81E47"/>
    <w:rsid w:val="00F822EE"/>
    <w:rsid w:val="00F82404"/>
    <w:rsid w:val="00F824EF"/>
    <w:rsid w:val="00F83A8E"/>
    <w:rsid w:val="00F8424B"/>
    <w:rsid w:val="00F84287"/>
    <w:rsid w:val="00F84408"/>
    <w:rsid w:val="00F846F4"/>
    <w:rsid w:val="00F84D68"/>
    <w:rsid w:val="00F8574A"/>
    <w:rsid w:val="00F86474"/>
    <w:rsid w:val="00F868B4"/>
    <w:rsid w:val="00F868EA"/>
    <w:rsid w:val="00F8730A"/>
    <w:rsid w:val="00F9016F"/>
    <w:rsid w:val="00F90601"/>
    <w:rsid w:val="00F90ECD"/>
    <w:rsid w:val="00F90FEE"/>
    <w:rsid w:val="00F9116B"/>
    <w:rsid w:val="00F916A4"/>
    <w:rsid w:val="00F935CB"/>
    <w:rsid w:val="00F93703"/>
    <w:rsid w:val="00F93D70"/>
    <w:rsid w:val="00F94C11"/>
    <w:rsid w:val="00F94D38"/>
    <w:rsid w:val="00F9520F"/>
    <w:rsid w:val="00F9647B"/>
    <w:rsid w:val="00F9663F"/>
    <w:rsid w:val="00F96B6A"/>
    <w:rsid w:val="00F96D04"/>
    <w:rsid w:val="00F972F4"/>
    <w:rsid w:val="00F973B4"/>
    <w:rsid w:val="00F97A42"/>
    <w:rsid w:val="00F97B27"/>
    <w:rsid w:val="00FA0210"/>
    <w:rsid w:val="00FA15F2"/>
    <w:rsid w:val="00FA1CFA"/>
    <w:rsid w:val="00FA331B"/>
    <w:rsid w:val="00FA35B8"/>
    <w:rsid w:val="00FA3F91"/>
    <w:rsid w:val="00FA4036"/>
    <w:rsid w:val="00FA46D4"/>
    <w:rsid w:val="00FA6FFA"/>
    <w:rsid w:val="00FA78FD"/>
    <w:rsid w:val="00FB044B"/>
    <w:rsid w:val="00FB1010"/>
    <w:rsid w:val="00FB116A"/>
    <w:rsid w:val="00FB11BE"/>
    <w:rsid w:val="00FB1254"/>
    <w:rsid w:val="00FB12C0"/>
    <w:rsid w:val="00FB1357"/>
    <w:rsid w:val="00FB146F"/>
    <w:rsid w:val="00FB1799"/>
    <w:rsid w:val="00FB1B56"/>
    <w:rsid w:val="00FB1C26"/>
    <w:rsid w:val="00FB21D3"/>
    <w:rsid w:val="00FB24B8"/>
    <w:rsid w:val="00FB27F1"/>
    <w:rsid w:val="00FB3B7A"/>
    <w:rsid w:val="00FB48F2"/>
    <w:rsid w:val="00FB4A00"/>
    <w:rsid w:val="00FB4C6F"/>
    <w:rsid w:val="00FB6F28"/>
    <w:rsid w:val="00FB7EFB"/>
    <w:rsid w:val="00FC02B1"/>
    <w:rsid w:val="00FC440D"/>
    <w:rsid w:val="00FC4C05"/>
    <w:rsid w:val="00FC5E76"/>
    <w:rsid w:val="00FC6810"/>
    <w:rsid w:val="00FC69CF"/>
    <w:rsid w:val="00FC6CF1"/>
    <w:rsid w:val="00FC7214"/>
    <w:rsid w:val="00FC724C"/>
    <w:rsid w:val="00FC7FB3"/>
    <w:rsid w:val="00FD058F"/>
    <w:rsid w:val="00FD0ACD"/>
    <w:rsid w:val="00FD0AEE"/>
    <w:rsid w:val="00FD0B70"/>
    <w:rsid w:val="00FD11B8"/>
    <w:rsid w:val="00FD1440"/>
    <w:rsid w:val="00FD1489"/>
    <w:rsid w:val="00FD17D7"/>
    <w:rsid w:val="00FD2DA9"/>
    <w:rsid w:val="00FD3035"/>
    <w:rsid w:val="00FD35FA"/>
    <w:rsid w:val="00FD3655"/>
    <w:rsid w:val="00FD377B"/>
    <w:rsid w:val="00FD4079"/>
    <w:rsid w:val="00FD45FC"/>
    <w:rsid w:val="00FD4607"/>
    <w:rsid w:val="00FD4EA2"/>
    <w:rsid w:val="00FD503A"/>
    <w:rsid w:val="00FD5050"/>
    <w:rsid w:val="00FD59F1"/>
    <w:rsid w:val="00FD66A4"/>
    <w:rsid w:val="00FD6FE0"/>
    <w:rsid w:val="00FD6FE2"/>
    <w:rsid w:val="00FD72F4"/>
    <w:rsid w:val="00FD74CB"/>
    <w:rsid w:val="00FD7543"/>
    <w:rsid w:val="00FD754A"/>
    <w:rsid w:val="00FD768A"/>
    <w:rsid w:val="00FD7A64"/>
    <w:rsid w:val="00FD7BF5"/>
    <w:rsid w:val="00FD7C8F"/>
    <w:rsid w:val="00FD7EA4"/>
    <w:rsid w:val="00FE0243"/>
    <w:rsid w:val="00FE185C"/>
    <w:rsid w:val="00FE1C91"/>
    <w:rsid w:val="00FE2433"/>
    <w:rsid w:val="00FE2476"/>
    <w:rsid w:val="00FE2D04"/>
    <w:rsid w:val="00FE30B8"/>
    <w:rsid w:val="00FE3510"/>
    <w:rsid w:val="00FE374B"/>
    <w:rsid w:val="00FE3C5F"/>
    <w:rsid w:val="00FE401B"/>
    <w:rsid w:val="00FE4705"/>
    <w:rsid w:val="00FE4921"/>
    <w:rsid w:val="00FE557C"/>
    <w:rsid w:val="00FE584F"/>
    <w:rsid w:val="00FE58A2"/>
    <w:rsid w:val="00FE62CB"/>
    <w:rsid w:val="00FE690D"/>
    <w:rsid w:val="00FE6FBD"/>
    <w:rsid w:val="00FE7161"/>
    <w:rsid w:val="00FF036F"/>
    <w:rsid w:val="00FF0648"/>
    <w:rsid w:val="00FF2F55"/>
    <w:rsid w:val="00FF3BB9"/>
    <w:rsid w:val="00FF3CF8"/>
    <w:rsid w:val="00FF40B1"/>
    <w:rsid w:val="00FF4744"/>
    <w:rsid w:val="00FF4C3A"/>
    <w:rsid w:val="00FF5FF4"/>
    <w:rsid w:val="00FF62F4"/>
    <w:rsid w:val="00FF6519"/>
    <w:rsid w:val="00FF6A63"/>
    <w:rsid w:val="00FF6D14"/>
    <w:rsid w:val="00FF74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C763B"/>
  <w15:chartTrackingRefBased/>
  <w15:docId w15:val="{6F7CAFE9-6B04-4279-B6FA-DAC7A5FD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19D5"/>
    <w:pPr>
      <w:tabs>
        <w:tab w:val="left" w:pos="567"/>
      </w:tabs>
      <w:spacing w:line="260" w:lineRule="exact"/>
    </w:pPr>
    <w:rPr>
      <w:rFonts w:eastAsia="Times New Roman"/>
      <w:sz w:val="22"/>
      <w:lang w:eastAsia="en-US"/>
    </w:rPr>
  </w:style>
  <w:style w:type="paragraph" w:styleId="Kop1">
    <w:name w:val="heading 1"/>
    <w:basedOn w:val="C-Heading1"/>
    <w:next w:val="C-BodyText"/>
    <w:link w:val="Kop1Char"/>
    <w:qFormat/>
    <w:rsid w:val="00427CD1"/>
    <w:pPr>
      <w:tabs>
        <w:tab w:val="num" w:pos="360"/>
      </w:tabs>
      <w:spacing w:after="240"/>
    </w:pPr>
    <w:rPr>
      <w:bCs/>
      <w:kern w:val="32"/>
      <w:szCs w:val="32"/>
    </w:rPr>
  </w:style>
  <w:style w:type="paragraph" w:styleId="Kop3">
    <w:name w:val="heading 3"/>
    <w:basedOn w:val="Standaard"/>
    <w:next w:val="Standaard"/>
    <w:link w:val="Kop3Char"/>
    <w:semiHidden/>
    <w:unhideWhenUsed/>
    <w:qFormat/>
    <w:rsid w:val="00274F8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8306"/>
      </w:tabs>
    </w:pPr>
    <w:rPr>
      <w:rFonts w:ascii="Arial" w:hAnsi="Arial"/>
      <w:noProof/>
      <w:sz w:val="16"/>
    </w:rPr>
  </w:style>
  <w:style w:type="paragraph" w:styleId="Koptekst">
    <w:name w:val="header"/>
    <w:basedOn w:val="Standaard"/>
    <w:link w:val="KoptekstChar"/>
    <w:pPr>
      <w:tabs>
        <w:tab w:val="center" w:pos="4153"/>
        <w:tab w:val="right" w:pos="8306"/>
      </w:tabs>
    </w:pPr>
    <w:rPr>
      <w:rFonts w:ascii="Arial" w:hAnsi="Arial"/>
      <w:sz w:val="20"/>
    </w:rPr>
  </w:style>
  <w:style w:type="paragraph" w:customStyle="1" w:styleId="MemoHeaderStyle">
    <w:name w:val="MemoHeaderStyle"/>
    <w:basedOn w:val="Standaard"/>
    <w:next w:val="Standaard"/>
    <w:pPr>
      <w:spacing w:line="120" w:lineRule="atLeast"/>
      <w:ind w:left="1418"/>
      <w:jc w:val="both"/>
    </w:pPr>
    <w:rPr>
      <w:rFonts w:ascii="Arial" w:hAnsi="Arial"/>
      <w:b/>
      <w:smallCaps/>
    </w:rPr>
  </w:style>
  <w:style w:type="character" w:styleId="Paginanummer">
    <w:name w:val="page number"/>
    <w:basedOn w:val="Standaardalinea-lettertype"/>
    <w:rsid w:val="00812D16"/>
  </w:style>
  <w:style w:type="paragraph" w:styleId="Plattetekst">
    <w:name w:val="Body Text"/>
    <w:basedOn w:val="Standaard"/>
    <w:rsid w:val="00812D16"/>
    <w:pPr>
      <w:tabs>
        <w:tab w:val="clear" w:pos="567"/>
      </w:tabs>
      <w:spacing w:line="240" w:lineRule="auto"/>
    </w:pPr>
    <w:rPr>
      <w:i/>
      <w:color w:val="008000"/>
    </w:rPr>
  </w:style>
  <w:style w:type="paragraph" w:styleId="Tekstopmerking">
    <w:name w:val="annotation text"/>
    <w:aliases w:val="Annotationtext,Comment Text Char Char,Comment Text Char1 Char Char,Comment Text Char Char Char Char,Comment Text Char Char1,- H19,Comment Text Char2 Char,Car6,Comment Text Char1 Char,Comment Text Char1 Char Char Char Char"/>
    <w:basedOn w:val="Standaard"/>
    <w:link w:val="TekstopmerkingChar"/>
    <w:uiPriority w:val="99"/>
    <w:qFormat/>
    <w:rsid w:val="001F27A3"/>
    <w:rPr>
      <w:sz w:val="20"/>
    </w:rPr>
  </w:style>
  <w:style w:type="character" w:styleId="Hyperlink">
    <w:name w:val="Hyperlink"/>
    <w:rsid w:val="00812D16"/>
    <w:rPr>
      <w:color w:val="0000FF"/>
      <w:u w:val="single"/>
    </w:rPr>
  </w:style>
  <w:style w:type="paragraph" w:customStyle="1" w:styleId="EMEAEnBodyText">
    <w:name w:val="EMEA En Body Text"/>
    <w:basedOn w:val="Standaard"/>
    <w:rsid w:val="00812D16"/>
    <w:pPr>
      <w:tabs>
        <w:tab w:val="clear" w:pos="567"/>
      </w:tabs>
      <w:spacing w:before="120" w:after="120" w:line="240" w:lineRule="auto"/>
      <w:jc w:val="both"/>
    </w:pPr>
    <w:rPr>
      <w:lang w:val="en-US"/>
    </w:rPr>
  </w:style>
  <w:style w:type="paragraph" w:styleId="Ballontekst">
    <w:name w:val="Balloon Text"/>
    <w:basedOn w:val="Standaard"/>
    <w:semiHidden/>
    <w:rsid w:val="00A20C7F"/>
    <w:rPr>
      <w:rFonts w:ascii="Tahoma" w:hAnsi="Tahoma" w:cs="Tahoma"/>
      <w:sz w:val="16"/>
      <w:szCs w:val="16"/>
    </w:rPr>
  </w:style>
  <w:style w:type="paragraph" w:customStyle="1" w:styleId="BodytextAgency">
    <w:name w:val="Body text (Agency)"/>
    <w:basedOn w:val="Standaard"/>
    <w:link w:val="BodytextAgencyChar"/>
    <w:qFormat/>
    <w:rsid w:val="001F27A3"/>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rPr>
  </w:style>
  <w:style w:type="paragraph" w:customStyle="1" w:styleId="DraftingNotesAgency">
    <w:name w:val="Drafting Notes (Agency)"/>
    <w:basedOn w:val="Standa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Standaardtabe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Verwijzingopmerking">
    <w:name w:val="annotation reference"/>
    <w:uiPriority w:val="99"/>
    <w:rsid w:val="00BC6DC2"/>
    <w:rPr>
      <w:sz w:val="16"/>
      <w:szCs w:val="16"/>
    </w:rPr>
  </w:style>
  <w:style w:type="paragraph" w:styleId="Onderwerpvanopmerking">
    <w:name w:val="annotation subject"/>
    <w:basedOn w:val="Tekstopmerking"/>
    <w:next w:val="Tekstopmerking"/>
    <w:link w:val="OnderwerpvanopmerkingChar"/>
    <w:rsid w:val="00BC6DC2"/>
    <w:rPr>
      <w:b/>
      <w:bCs/>
    </w:rPr>
  </w:style>
  <w:style w:type="character" w:customStyle="1" w:styleId="TekstopmerkingChar">
    <w:name w:val="Tekst opmerking Char"/>
    <w:aliases w:val="Annotationtext Char,Comment Text Char Char Char,Comment Text Char1 Char Char Char,Comment Text Char Char Char Char Char,Comment Text Char Char1 Char,- H19 Char,Comment Text Char2 Char Char,Car6 Char,Comment Text Char1 Char Char1"/>
    <w:link w:val="Tekstopmerking"/>
    <w:uiPriority w:val="99"/>
    <w:rsid w:val="00BC6DC2"/>
    <w:rPr>
      <w:rFonts w:eastAsia="Times New Roman"/>
      <w:lang w:eastAsia="en-US"/>
    </w:rPr>
  </w:style>
  <w:style w:type="character" w:customStyle="1" w:styleId="OnderwerpvanopmerkingChar">
    <w:name w:val="Onderwerp van opmerking Char"/>
    <w:link w:val="Onderwerpvanopmerking"/>
    <w:rsid w:val="00BC6DC2"/>
    <w:rPr>
      <w:rFonts w:eastAsia="Times New Roman"/>
      <w:b/>
      <w:bCs/>
      <w:lang w:eastAsia="en-US"/>
    </w:rPr>
  </w:style>
  <w:style w:type="paragraph" w:styleId="Revisie">
    <w:name w:val="Revision"/>
    <w:hidden/>
    <w:uiPriority w:val="99"/>
    <w:semiHidden/>
    <w:rsid w:val="00B21BE7"/>
    <w:rPr>
      <w:rFonts w:eastAsia="Times New Roman"/>
      <w:sz w:val="22"/>
      <w:lang w:eastAsia="en-US"/>
    </w:rPr>
  </w:style>
  <w:style w:type="paragraph" w:styleId="Lijstalinea">
    <w:name w:val="List Paragraph"/>
    <w:basedOn w:val="Standaard"/>
    <w:uiPriority w:val="34"/>
    <w:qFormat/>
    <w:rsid w:val="009E6391"/>
    <w:pPr>
      <w:tabs>
        <w:tab w:val="clear" w:pos="567"/>
      </w:tabs>
      <w:spacing w:after="160" w:line="259" w:lineRule="auto"/>
      <w:ind w:left="720"/>
      <w:contextualSpacing/>
    </w:pPr>
    <w:rPr>
      <w:rFonts w:ascii="Calibri" w:eastAsia="Calibri" w:hAnsi="Calibri"/>
      <w:szCs w:val="22"/>
      <w:lang w:val="de-DE"/>
    </w:rPr>
  </w:style>
  <w:style w:type="table" w:styleId="Tabelraster">
    <w:name w:val="Table Grid"/>
    <w:basedOn w:val="Standaardtabel"/>
    <w:rsid w:val="00B60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Indent">
    <w:name w:val="C-Body Text Indent"/>
    <w:rsid w:val="00187A6C"/>
    <w:pPr>
      <w:spacing w:before="120" w:after="120" w:line="280" w:lineRule="atLeast"/>
      <w:ind w:left="360"/>
    </w:pPr>
    <w:rPr>
      <w:rFonts w:eastAsia="Times New Roman"/>
      <w:sz w:val="24"/>
      <w:lang w:val="en-US" w:eastAsia="en-US"/>
    </w:rPr>
  </w:style>
  <w:style w:type="paragraph" w:styleId="Eindnoottekst">
    <w:name w:val="endnote text"/>
    <w:basedOn w:val="Standaard"/>
    <w:link w:val="EindnoottekstChar"/>
    <w:rsid w:val="005B47E7"/>
    <w:pPr>
      <w:tabs>
        <w:tab w:val="clear" w:pos="567"/>
      </w:tabs>
      <w:spacing w:line="240" w:lineRule="auto"/>
    </w:pPr>
    <w:rPr>
      <w:rFonts w:cs="Arial"/>
      <w:sz w:val="20"/>
      <w:lang w:val="en-US"/>
    </w:rPr>
  </w:style>
  <w:style w:type="character" w:customStyle="1" w:styleId="EindnoottekstChar">
    <w:name w:val="Eindnoottekst Char"/>
    <w:basedOn w:val="Standaardalinea-lettertype"/>
    <w:link w:val="Eindnoottekst"/>
    <w:rsid w:val="005B47E7"/>
    <w:rPr>
      <w:rFonts w:eastAsia="Times New Roman" w:cs="Arial"/>
      <w:lang w:val="en-US" w:eastAsia="en-US"/>
    </w:rPr>
  </w:style>
  <w:style w:type="character" w:styleId="Eindnootmarkering">
    <w:name w:val="endnote reference"/>
    <w:rsid w:val="005B47E7"/>
    <w:rPr>
      <w:vertAlign w:val="superscript"/>
    </w:rPr>
  </w:style>
  <w:style w:type="character" w:styleId="GevolgdeHyperlink">
    <w:name w:val="FollowedHyperlink"/>
    <w:basedOn w:val="Standaardalinea-lettertype"/>
    <w:rsid w:val="005A3285"/>
    <w:rPr>
      <w:color w:val="954F72" w:themeColor="followedHyperlink"/>
      <w:u w:val="single"/>
    </w:rPr>
  </w:style>
  <w:style w:type="paragraph" w:customStyle="1" w:styleId="DaichiiSankyocontact">
    <w:name w:val="Daichii Sankyo contact"/>
    <w:basedOn w:val="Standaard"/>
    <w:link w:val="DaichiiSankyocontactZchn"/>
    <w:qFormat/>
    <w:rsid w:val="006A4B61"/>
    <w:pPr>
      <w:tabs>
        <w:tab w:val="clear" w:pos="567"/>
        <w:tab w:val="left" w:pos="522"/>
      </w:tabs>
      <w:spacing w:line="240" w:lineRule="exact"/>
    </w:pPr>
    <w:rPr>
      <w:sz w:val="18"/>
      <w:szCs w:val="24"/>
      <w:lang w:eastAsia="de-DE"/>
    </w:rPr>
  </w:style>
  <w:style w:type="character" w:customStyle="1" w:styleId="DaichiiSankyocontactZchn">
    <w:name w:val="Daichii Sankyo contact Zchn"/>
    <w:basedOn w:val="Standaardalinea-lettertype"/>
    <w:link w:val="DaichiiSankyocontact"/>
    <w:rsid w:val="006A4B61"/>
    <w:rPr>
      <w:rFonts w:eastAsia="Times New Roman"/>
      <w:sz w:val="18"/>
      <w:szCs w:val="24"/>
      <w:lang w:eastAsia="de-DE"/>
    </w:rPr>
  </w:style>
  <w:style w:type="paragraph" w:customStyle="1" w:styleId="Default">
    <w:name w:val="Default"/>
    <w:rsid w:val="00A0697A"/>
    <w:pPr>
      <w:autoSpaceDE w:val="0"/>
      <w:autoSpaceDN w:val="0"/>
      <w:adjustRightInd w:val="0"/>
    </w:pPr>
    <w:rPr>
      <w:rFonts w:ascii="Verdana" w:hAnsi="Verdana" w:cs="Verdana"/>
      <w:color w:val="000000"/>
      <w:sz w:val="24"/>
      <w:szCs w:val="24"/>
      <w:lang w:val="nl-NL"/>
    </w:rPr>
  </w:style>
  <w:style w:type="character" w:customStyle="1" w:styleId="VoettekstChar">
    <w:name w:val="Voettekst Char"/>
    <w:basedOn w:val="Standaardalinea-lettertype"/>
    <w:link w:val="Voettekst"/>
    <w:uiPriority w:val="99"/>
    <w:locked/>
    <w:rsid w:val="00925EE8"/>
    <w:rPr>
      <w:rFonts w:ascii="Arial" w:eastAsia="Times New Roman" w:hAnsi="Arial"/>
      <w:noProof/>
      <w:sz w:val="16"/>
      <w:lang w:eastAsia="en-US"/>
    </w:rPr>
  </w:style>
  <w:style w:type="paragraph" w:customStyle="1" w:styleId="C-Bullet">
    <w:name w:val="C-Bullet"/>
    <w:link w:val="C-BulletChar"/>
    <w:rsid w:val="000F06FF"/>
    <w:pPr>
      <w:numPr>
        <w:numId w:val="7"/>
      </w:numPr>
      <w:spacing w:before="120" w:after="120" w:line="280" w:lineRule="atLeast"/>
    </w:pPr>
    <w:rPr>
      <w:rFonts w:eastAsia="Times New Roman"/>
      <w:sz w:val="24"/>
      <w:lang w:val="en-US" w:eastAsia="en-US"/>
    </w:rPr>
  </w:style>
  <w:style w:type="paragraph" w:customStyle="1" w:styleId="C-BulletIndented">
    <w:name w:val="C-Bullet Indented"/>
    <w:rsid w:val="000F06FF"/>
    <w:pPr>
      <w:numPr>
        <w:ilvl w:val="1"/>
        <w:numId w:val="7"/>
      </w:numPr>
      <w:spacing w:before="120" w:after="120" w:line="280" w:lineRule="atLeast"/>
    </w:pPr>
    <w:rPr>
      <w:rFonts w:eastAsia="Times New Roman" w:cs="Arial"/>
      <w:sz w:val="24"/>
      <w:lang w:val="en-US" w:eastAsia="en-US"/>
    </w:rPr>
  </w:style>
  <w:style w:type="character" w:customStyle="1" w:styleId="C-BulletChar">
    <w:name w:val="C-Bullet Char"/>
    <w:link w:val="C-Bullet"/>
    <w:locked/>
    <w:rsid w:val="000F06FF"/>
    <w:rPr>
      <w:rFonts w:eastAsia="Times New Roman"/>
      <w:sz w:val="24"/>
      <w:lang w:val="en-US" w:eastAsia="en-US"/>
    </w:rPr>
  </w:style>
  <w:style w:type="paragraph" w:customStyle="1" w:styleId="C-BodyText">
    <w:name w:val="C-Body Text"/>
    <w:link w:val="C-BodyTextChar1"/>
    <w:qFormat/>
    <w:rsid w:val="004776C8"/>
    <w:pPr>
      <w:spacing w:before="120" w:after="120" w:line="280" w:lineRule="atLeast"/>
    </w:pPr>
    <w:rPr>
      <w:rFonts w:eastAsia="Times New Roman"/>
      <w:sz w:val="24"/>
      <w:lang w:val="en-US" w:eastAsia="en-US"/>
    </w:rPr>
  </w:style>
  <w:style w:type="character" w:customStyle="1" w:styleId="C-BodyTextChar1">
    <w:name w:val="C-Body Text Char1"/>
    <w:link w:val="C-BodyText"/>
    <w:rsid w:val="004776C8"/>
    <w:rPr>
      <w:rFonts w:eastAsia="Times New Roman"/>
      <w:sz w:val="24"/>
      <w:lang w:val="en-US" w:eastAsia="en-US"/>
    </w:rPr>
  </w:style>
  <w:style w:type="paragraph" w:customStyle="1" w:styleId="C-AlphabeticList">
    <w:name w:val="C-Alphabetic List"/>
    <w:rsid w:val="009A3786"/>
    <w:pPr>
      <w:numPr>
        <w:ilvl w:val="1"/>
        <w:numId w:val="9"/>
      </w:numPr>
    </w:pPr>
    <w:rPr>
      <w:rFonts w:eastAsia="Times New Roman"/>
      <w:sz w:val="24"/>
      <w:lang w:val="en-US" w:eastAsia="en-US"/>
    </w:rPr>
  </w:style>
  <w:style w:type="paragraph" w:customStyle="1" w:styleId="C-NumberedList">
    <w:name w:val="C-Numbered List"/>
    <w:link w:val="C-NumberedListChar"/>
    <w:rsid w:val="009A3786"/>
    <w:pPr>
      <w:numPr>
        <w:numId w:val="9"/>
      </w:numPr>
      <w:spacing w:before="120" w:after="120" w:line="280" w:lineRule="atLeast"/>
    </w:pPr>
    <w:rPr>
      <w:rFonts w:eastAsia="Times New Roman"/>
      <w:sz w:val="24"/>
      <w:lang w:val="en-US" w:eastAsia="en-US"/>
    </w:rPr>
  </w:style>
  <w:style w:type="character" w:customStyle="1" w:styleId="C-NumberedListChar">
    <w:name w:val="C-Numbered List Char"/>
    <w:link w:val="C-NumberedList"/>
    <w:rsid w:val="009A3786"/>
    <w:rPr>
      <w:rFonts w:eastAsia="Times New Roman"/>
      <w:sz w:val="24"/>
      <w:lang w:val="en-US" w:eastAsia="en-US"/>
    </w:rPr>
  </w:style>
  <w:style w:type="character" w:customStyle="1" w:styleId="Kop1Char">
    <w:name w:val="Kop 1 Char"/>
    <w:basedOn w:val="Standaardalinea-lettertype"/>
    <w:link w:val="Kop1"/>
    <w:rsid w:val="00427CD1"/>
    <w:rPr>
      <w:rFonts w:eastAsia="Times New Roman"/>
      <w:b/>
      <w:bCs/>
      <w:caps/>
      <w:kern w:val="32"/>
      <w:sz w:val="28"/>
      <w:szCs w:val="32"/>
      <w:lang w:val="en-US" w:eastAsia="en-US"/>
    </w:rPr>
  </w:style>
  <w:style w:type="paragraph" w:customStyle="1" w:styleId="C-Heading1">
    <w:name w:val="C-Heading 1"/>
    <w:next w:val="C-BodyText"/>
    <w:rsid w:val="00427CD1"/>
    <w:pPr>
      <w:keepNext/>
      <w:pageBreakBefore/>
      <w:numPr>
        <w:numId w:val="10"/>
      </w:numPr>
      <w:spacing w:before="480" w:after="120"/>
      <w:outlineLvl w:val="0"/>
    </w:pPr>
    <w:rPr>
      <w:rFonts w:eastAsia="Times New Roman"/>
      <w:b/>
      <w:caps/>
      <w:sz w:val="28"/>
      <w:lang w:val="en-US" w:eastAsia="en-US"/>
    </w:rPr>
  </w:style>
  <w:style w:type="paragraph" w:customStyle="1" w:styleId="C-Heading2">
    <w:name w:val="C-Heading 2"/>
    <w:next w:val="C-BodyText"/>
    <w:rsid w:val="00427CD1"/>
    <w:pPr>
      <w:keepNext/>
      <w:numPr>
        <w:ilvl w:val="1"/>
        <w:numId w:val="10"/>
      </w:numPr>
      <w:spacing w:before="240"/>
      <w:outlineLvl w:val="1"/>
    </w:pPr>
    <w:rPr>
      <w:rFonts w:eastAsia="Times New Roman"/>
      <w:b/>
      <w:sz w:val="28"/>
      <w:lang w:val="en-US" w:eastAsia="en-US"/>
    </w:rPr>
  </w:style>
  <w:style w:type="paragraph" w:customStyle="1" w:styleId="C-Heading3">
    <w:name w:val="C-Heading 3"/>
    <w:next w:val="C-BodyText"/>
    <w:rsid w:val="00427CD1"/>
    <w:pPr>
      <w:keepNext/>
      <w:numPr>
        <w:ilvl w:val="2"/>
        <w:numId w:val="10"/>
      </w:numPr>
      <w:spacing w:before="240"/>
      <w:outlineLvl w:val="2"/>
    </w:pPr>
    <w:rPr>
      <w:rFonts w:eastAsia="Times New Roman"/>
      <w:b/>
      <w:sz w:val="24"/>
      <w:lang w:val="en-US" w:eastAsia="en-US"/>
    </w:rPr>
  </w:style>
  <w:style w:type="paragraph" w:customStyle="1" w:styleId="C-Heading4">
    <w:name w:val="C-Heading 4"/>
    <w:next w:val="C-BodyText"/>
    <w:rsid w:val="00427CD1"/>
    <w:pPr>
      <w:keepNext/>
      <w:numPr>
        <w:ilvl w:val="3"/>
        <w:numId w:val="10"/>
      </w:numPr>
      <w:spacing w:before="240"/>
      <w:outlineLvl w:val="3"/>
    </w:pPr>
    <w:rPr>
      <w:rFonts w:eastAsia="Times New Roman"/>
      <w:b/>
      <w:sz w:val="24"/>
      <w:lang w:val="en-US" w:eastAsia="en-US"/>
    </w:rPr>
  </w:style>
  <w:style w:type="paragraph" w:customStyle="1" w:styleId="C-Heading5">
    <w:name w:val="C-Heading 5"/>
    <w:next w:val="C-BodyText"/>
    <w:rsid w:val="00427CD1"/>
    <w:pPr>
      <w:keepNext/>
      <w:numPr>
        <w:ilvl w:val="4"/>
        <w:numId w:val="10"/>
      </w:numPr>
      <w:spacing w:before="240"/>
      <w:outlineLvl w:val="4"/>
    </w:pPr>
    <w:rPr>
      <w:rFonts w:eastAsia="Times New Roman"/>
      <w:b/>
      <w:sz w:val="24"/>
      <w:lang w:val="en-US" w:eastAsia="en-US"/>
    </w:rPr>
  </w:style>
  <w:style w:type="paragraph" w:customStyle="1" w:styleId="C-Heading6">
    <w:name w:val="C-Heading 6"/>
    <w:next w:val="C-BodyText"/>
    <w:rsid w:val="00427CD1"/>
    <w:pPr>
      <w:keepNext/>
      <w:numPr>
        <w:ilvl w:val="5"/>
        <w:numId w:val="10"/>
      </w:numPr>
      <w:tabs>
        <w:tab w:val="clear" w:pos="1080"/>
        <w:tab w:val="num" w:pos="1224"/>
      </w:tabs>
      <w:spacing w:before="240"/>
      <w:ind w:left="1224" w:hanging="1224"/>
      <w:outlineLvl w:val="5"/>
    </w:pPr>
    <w:rPr>
      <w:rFonts w:eastAsia="Times New Roman"/>
      <w:b/>
      <w:sz w:val="24"/>
      <w:lang w:val="en-US" w:eastAsia="en-US"/>
    </w:rPr>
  </w:style>
  <w:style w:type="paragraph" w:customStyle="1" w:styleId="C-Heading3non-numbered">
    <w:name w:val="C-Heading 3 (non-numbered)"/>
    <w:basedOn w:val="C-Heading3"/>
    <w:next w:val="C-BodyText"/>
    <w:rsid w:val="00CB3BF1"/>
    <w:pPr>
      <w:numPr>
        <w:ilvl w:val="0"/>
        <w:numId w:val="0"/>
      </w:numPr>
      <w:tabs>
        <w:tab w:val="left" w:pos="1080"/>
      </w:tabs>
      <w:ind w:left="1080" w:hanging="1080"/>
    </w:pPr>
  </w:style>
  <w:style w:type="paragraph" w:styleId="Inhopg4">
    <w:name w:val="toc 4"/>
    <w:basedOn w:val="Inhopg1"/>
    <w:next w:val="C-BodyText"/>
    <w:rsid w:val="00CB3BF1"/>
    <w:pPr>
      <w:tabs>
        <w:tab w:val="left" w:pos="1008"/>
        <w:tab w:val="right" w:leader="dot" w:pos="9360"/>
      </w:tabs>
      <w:spacing w:before="120" w:after="0" w:line="240" w:lineRule="auto"/>
      <w:ind w:left="1008" w:right="792" w:hanging="1008"/>
    </w:pPr>
    <w:rPr>
      <w:rFonts w:cs="Arial"/>
      <w:color w:val="0000FF"/>
      <w:sz w:val="24"/>
      <w:szCs w:val="24"/>
      <w:lang w:val="en-US"/>
    </w:rPr>
  </w:style>
  <w:style w:type="paragraph" w:styleId="Inhopg1">
    <w:name w:val="toc 1"/>
    <w:basedOn w:val="Standaard"/>
    <w:next w:val="Standaard"/>
    <w:autoRedefine/>
    <w:rsid w:val="00CB3BF1"/>
    <w:pPr>
      <w:tabs>
        <w:tab w:val="clear" w:pos="567"/>
      </w:tabs>
      <w:spacing w:after="100"/>
    </w:pPr>
  </w:style>
  <w:style w:type="character" w:customStyle="1" w:styleId="C-BodyTextChar">
    <w:name w:val="C-Body Text Char"/>
    <w:rsid w:val="00980057"/>
    <w:rPr>
      <w:rFonts w:ascii="Times New Roman" w:eastAsia="Times New Roman" w:hAnsi="Times New Roman" w:cs="Times New Roman"/>
      <w:sz w:val="24"/>
      <w:szCs w:val="20"/>
      <w:lang w:eastAsia="en-US"/>
    </w:rPr>
  </w:style>
  <w:style w:type="paragraph" w:customStyle="1" w:styleId="C-Footnote">
    <w:name w:val="C-Footnote"/>
    <w:basedOn w:val="Standaard"/>
    <w:qFormat/>
    <w:rsid w:val="00803854"/>
    <w:pPr>
      <w:tabs>
        <w:tab w:val="clear" w:pos="567"/>
        <w:tab w:val="left" w:pos="144"/>
      </w:tabs>
      <w:spacing w:line="240" w:lineRule="auto"/>
    </w:pPr>
    <w:rPr>
      <w:rFonts w:cs="Arial"/>
      <w:sz w:val="20"/>
      <w:lang w:val="en-US"/>
    </w:rPr>
  </w:style>
  <w:style w:type="character" w:customStyle="1" w:styleId="KoptekstChar">
    <w:name w:val="Koptekst Char"/>
    <w:basedOn w:val="Standaardalinea-lettertype"/>
    <w:link w:val="Koptekst"/>
    <w:uiPriority w:val="99"/>
    <w:rsid w:val="009C0249"/>
    <w:rPr>
      <w:rFonts w:ascii="Arial" w:eastAsia="Times New Roman" w:hAnsi="Arial"/>
      <w:lang w:eastAsia="en-US"/>
    </w:rPr>
  </w:style>
  <w:style w:type="paragraph" w:styleId="Normaalweb">
    <w:name w:val="Normal (Web)"/>
    <w:basedOn w:val="Standaard"/>
    <w:uiPriority w:val="99"/>
    <w:unhideWhenUsed/>
    <w:rsid w:val="00354411"/>
    <w:pPr>
      <w:tabs>
        <w:tab w:val="clear" w:pos="567"/>
      </w:tabs>
      <w:spacing w:before="100" w:beforeAutospacing="1" w:after="100" w:afterAutospacing="1" w:line="259" w:lineRule="auto"/>
    </w:pPr>
    <w:rPr>
      <w:rFonts w:eastAsiaTheme="minorEastAsia"/>
      <w:sz w:val="24"/>
      <w:szCs w:val="24"/>
      <w:lang w:eastAsia="ja-JP"/>
    </w:rPr>
  </w:style>
  <w:style w:type="paragraph" w:customStyle="1" w:styleId="C-InstructionText">
    <w:name w:val="C-Instruction Text"/>
    <w:rsid w:val="0031116F"/>
    <w:pPr>
      <w:spacing w:before="120" w:after="120" w:line="280" w:lineRule="atLeast"/>
    </w:pPr>
    <w:rPr>
      <w:rFonts w:eastAsia="Times New Roman"/>
      <w:vanish/>
      <w:color w:val="FF0000"/>
      <w:sz w:val="24"/>
      <w:szCs w:val="24"/>
      <w:lang w:val="en-US" w:eastAsia="en-US"/>
    </w:rPr>
  </w:style>
  <w:style w:type="character" w:customStyle="1" w:styleId="Kop3Char">
    <w:name w:val="Kop 3 Char"/>
    <w:basedOn w:val="Standaardalinea-lettertype"/>
    <w:link w:val="Kop3"/>
    <w:semiHidden/>
    <w:rsid w:val="00274F80"/>
    <w:rPr>
      <w:rFonts w:asciiTheme="majorHAnsi" w:eastAsiaTheme="majorEastAsia" w:hAnsiTheme="majorHAnsi" w:cstheme="majorBidi"/>
      <w:color w:val="1F4D78" w:themeColor="accent1" w:themeShade="7F"/>
      <w:sz w:val="24"/>
      <w:szCs w:val="24"/>
      <w:lang w:eastAsia="en-US"/>
    </w:rPr>
  </w:style>
  <w:style w:type="character" w:customStyle="1" w:styleId="normaltextrun">
    <w:name w:val="normaltextrun"/>
    <w:basedOn w:val="Standaardalinea-lettertype"/>
    <w:rsid w:val="004B5CBC"/>
  </w:style>
  <w:style w:type="character" w:customStyle="1" w:styleId="eop">
    <w:name w:val="eop"/>
    <w:basedOn w:val="Standaardalinea-lettertype"/>
    <w:rsid w:val="00463FED"/>
  </w:style>
  <w:style w:type="paragraph" w:customStyle="1" w:styleId="C-TableFootnote">
    <w:name w:val="C-Table Footnote"/>
    <w:next w:val="Standaard"/>
    <w:link w:val="C-TableFootnote0"/>
    <w:rsid w:val="00704993"/>
    <w:pPr>
      <w:tabs>
        <w:tab w:val="left" w:pos="144"/>
      </w:tabs>
      <w:ind w:left="144" w:hanging="144"/>
    </w:pPr>
    <w:rPr>
      <w:rFonts w:eastAsia="Times New Roman" w:cs="Arial"/>
      <w:lang w:val="en-US" w:eastAsia="en-US"/>
    </w:rPr>
  </w:style>
  <w:style w:type="character" w:customStyle="1" w:styleId="C-TableFootnote0">
    <w:name w:val="C-Table Footnote (文字)"/>
    <w:link w:val="C-TableFootnote"/>
    <w:rsid w:val="00704993"/>
    <w:rPr>
      <w:rFonts w:eastAsia="Times New Roman" w:cs="Arial"/>
      <w:lang w:val="en-US" w:eastAsia="en-US"/>
    </w:rPr>
  </w:style>
  <w:style w:type="character" w:customStyle="1" w:styleId="ui-provider">
    <w:name w:val="ui-provider"/>
    <w:basedOn w:val="Standaardalinea-lettertype"/>
    <w:rsid w:val="00D140DD"/>
  </w:style>
  <w:style w:type="character" w:customStyle="1" w:styleId="C-Hyperlink">
    <w:name w:val="C-Hyperlink"/>
    <w:rsid w:val="00443A4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685">
      <w:bodyDiv w:val="1"/>
      <w:marLeft w:val="0"/>
      <w:marRight w:val="0"/>
      <w:marTop w:val="0"/>
      <w:marBottom w:val="0"/>
      <w:divBdr>
        <w:top w:val="none" w:sz="0" w:space="0" w:color="auto"/>
        <w:left w:val="none" w:sz="0" w:space="0" w:color="auto"/>
        <w:bottom w:val="none" w:sz="0" w:space="0" w:color="auto"/>
        <w:right w:val="none" w:sz="0" w:space="0" w:color="auto"/>
      </w:divBdr>
    </w:div>
    <w:div w:id="128012425">
      <w:bodyDiv w:val="1"/>
      <w:marLeft w:val="0"/>
      <w:marRight w:val="0"/>
      <w:marTop w:val="0"/>
      <w:marBottom w:val="0"/>
      <w:divBdr>
        <w:top w:val="none" w:sz="0" w:space="0" w:color="auto"/>
        <w:left w:val="none" w:sz="0" w:space="0" w:color="auto"/>
        <w:bottom w:val="none" w:sz="0" w:space="0" w:color="auto"/>
        <w:right w:val="none" w:sz="0" w:space="0" w:color="auto"/>
      </w:divBdr>
    </w:div>
    <w:div w:id="189884000">
      <w:bodyDiv w:val="1"/>
      <w:marLeft w:val="0"/>
      <w:marRight w:val="0"/>
      <w:marTop w:val="0"/>
      <w:marBottom w:val="0"/>
      <w:divBdr>
        <w:top w:val="none" w:sz="0" w:space="0" w:color="auto"/>
        <w:left w:val="none" w:sz="0" w:space="0" w:color="auto"/>
        <w:bottom w:val="none" w:sz="0" w:space="0" w:color="auto"/>
        <w:right w:val="none" w:sz="0" w:space="0" w:color="auto"/>
      </w:divBdr>
      <w:divsChild>
        <w:div w:id="406533435">
          <w:marLeft w:val="0"/>
          <w:marRight w:val="0"/>
          <w:marTop w:val="0"/>
          <w:marBottom w:val="0"/>
          <w:divBdr>
            <w:top w:val="none" w:sz="0" w:space="0" w:color="auto"/>
            <w:left w:val="none" w:sz="0" w:space="0" w:color="auto"/>
            <w:bottom w:val="none" w:sz="0" w:space="0" w:color="auto"/>
            <w:right w:val="none" w:sz="0" w:space="0" w:color="auto"/>
          </w:divBdr>
        </w:div>
        <w:div w:id="618681803">
          <w:marLeft w:val="0"/>
          <w:marRight w:val="0"/>
          <w:marTop w:val="0"/>
          <w:marBottom w:val="0"/>
          <w:divBdr>
            <w:top w:val="none" w:sz="0" w:space="0" w:color="auto"/>
            <w:left w:val="none" w:sz="0" w:space="0" w:color="auto"/>
            <w:bottom w:val="none" w:sz="0" w:space="0" w:color="auto"/>
            <w:right w:val="none" w:sz="0" w:space="0" w:color="auto"/>
          </w:divBdr>
        </w:div>
        <w:div w:id="1740714557">
          <w:marLeft w:val="0"/>
          <w:marRight w:val="0"/>
          <w:marTop w:val="0"/>
          <w:marBottom w:val="0"/>
          <w:divBdr>
            <w:top w:val="none" w:sz="0" w:space="0" w:color="auto"/>
            <w:left w:val="none" w:sz="0" w:space="0" w:color="auto"/>
            <w:bottom w:val="none" w:sz="0" w:space="0" w:color="auto"/>
            <w:right w:val="none" w:sz="0" w:space="0" w:color="auto"/>
          </w:divBdr>
        </w:div>
        <w:div w:id="1501963287">
          <w:marLeft w:val="0"/>
          <w:marRight w:val="0"/>
          <w:marTop w:val="0"/>
          <w:marBottom w:val="0"/>
          <w:divBdr>
            <w:top w:val="none" w:sz="0" w:space="0" w:color="auto"/>
            <w:left w:val="none" w:sz="0" w:space="0" w:color="auto"/>
            <w:bottom w:val="none" w:sz="0" w:space="0" w:color="auto"/>
            <w:right w:val="none" w:sz="0" w:space="0" w:color="auto"/>
          </w:divBdr>
        </w:div>
      </w:divsChild>
    </w:div>
    <w:div w:id="247614729">
      <w:bodyDiv w:val="1"/>
      <w:marLeft w:val="0"/>
      <w:marRight w:val="0"/>
      <w:marTop w:val="0"/>
      <w:marBottom w:val="0"/>
      <w:divBdr>
        <w:top w:val="none" w:sz="0" w:space="0" w:color="auto"/>
        <w:left w:val="none" w:sz="0" w:space="0" w:color="auto"/>
        <w:bottom w:val="none" w:sz="0" w:space="0" w:color="auto"/>
        <w:right w:val="none" w:sz="0" w:space="0" w:color="auto"/>
      </w:divBdr>
    </w:div>
    <w:div w:id="254946645">
      <w:bodyDiv w:val="1"/>
      <w:marLeft w:val="0"/>
      <w:marRight w:val="0"/>
      <w:marTop w:val="0"/>
      <w:marBottom w:val="0"/>
      <w:divBdr>
        <w:top w:val="none" w:sz="0" w:space="0" w:color="auto"/>
        <w:left w:val="none" w:sz="0" w:space="0" w:color="auto"/>
        <w:bottom w:val="none" w:sz="0" w:space="0" w:color="auto"/>
        <w:right w:val="none" w:sz="0" w:space="0" w:color="auto"/>
      </w:divBdr>
    </w:div>
    <w:div w:id="260724885">
      <w:bodyDiv w:val="1"/>
      <w:marLeft w:val="0"/>
      <w:marRight w:val="0"/>
      <w:marTop w:val="0"/>
      <w:marBottom w:val="0"/>
      <w:divBdr>
        <w:top w:val="none" w:sz="0" w:space="0" w:color="auto"/>
        <w:left w:val="none" w:sz="0" w:space="0" w:color="auto"/>
        <w:bottom w:val="none" w:sz="0" w:space="0" w:color="auto"/>
        <w:right w:val="none" w:sz="0" w:space="0" w:color="auto"/>
      </w:divBdr>
    </w:div>
    <w:div w:id="278725134">
      <w:bodyDiv w:val="1"/>
      <w:marLeft w:val="0"/>
      <w:marRight w:val="0"/>
      <w:marTop w:val="0"/>
      <w:marBottom w:val="0"/>
      <w:divBdr>
        <w:top w:val="none" w:sz="0" w:space="0" w:color="auto"/>
        <w:left w:val="none" w:sz="0" w:space="0" w:color="auto"/>
        <w:bottom w:val="none" w:sz="0" w:space="0" w:color="auto"/>
        <w:right w:val="none" w:sz="0" w:space="0" w:color="auto"/>
      </w:divBdr>
    </w:div>
    <w:div w:id="297999127">
      <w:bodyDiv w:val="1"/>
      <w:marLeft w:val="0"/>
      <w:marRight w:val="0"/>
      <w:marTop w:val="0"/>
      <w:marBottom w:val="0"/>
      <w:divBdr>
        <w:top w:val="none" w:sz="0" w:space="0" w:color="auto"/>
        <w:left w:val="none" w:sz="0" w:space="0" w:color="auto"/>
        <w:bottom w:val="none" w:sz="0" w:space="0" w:color="auto"/>
        <w:right w:val="none" w:sz="0" w:space="0" w:color="auto"/>
      </w:divBdr>
      <w:divsChild>
        <w:div w:id="1209106356">
          <w:marLeft w:val="0"/>
          <w:marRight w:val="0"/>
          <w:marTop w:val="0"/>
          <w:marBottom w:val="0"/>
          <w:divBdr>
            <w:top w:val="none" w:sz="0" w:space="0" w:color="auto"/>
            <w:left w:val="none" w:sz="0" w:space="0" w:color="auto"/>
            <w:bottom w:val="none" w:sz="0" w:space="0" w:color="auto"/>
            <w:right w:val="none" w:sz="0" w:space="0" w:color="auto"/>
          </w:divBdr>
        </w:div>
        <w:div w:id="1391532925">
          <w:marLeft w:val="0"/>
          <w:marRight w:val="0"/>
          <w:marTop w:val="0"/>
          <w:marBottom w:val="0"/>
          <w:divBdr>
            <w:top w:val="none" w:sz="0" w:space="0" w:color="auto"/>
            <w:left w:val="none" w:sz="0" w:space="0" w:color="auto"/>
            <w:bottom w:val="none" w:sz="0" w:space="0" w:color="auto"/>
            <w:right w:val="none" w:sz="0" w:space="0" w:color="auto"/>
          </w:divBdr>
        </w:div>
      </w:divsChild>
    </w:div>
    <w:div w:id="305936464">
      <w:bodyDiv w:val="1"/>
      <w:marLeft w:val="0"/>
      <w:marRight w:val="0"/>
      <w:marTop w:val="0"/>
      <w:marBottom w:val="0"/>
      <w:divBdr>
        <w:top w:val="none" w:sz="0" w:space="0" w:color="auto"/>
        <w:left w:val="none" w:sz="0" w:space="0" w:color="auto"/>
        <w:bottom w:val="none" w:sz="0" w:space="0" w:color="auto"/>
        <w:right w:val="none" w:sz="0" w:space="0" w:color="auto"/>
      </w:divBdr>
    </w:div>
    <w:div w:id="415370760">
      <w:bodyDiv w:val="1"/>
      <w:marLeft w:val="0"/>
      <w:marRight w:val="0"/>
      <w:marTop w:val="0"/>
      <w:marBottom w:val="0"/>
      <w:divBdr>
        <w:top w:val="none" w:sz="0" w:space="0" w:color="auto"/>
        <w:left w:val="none" w:sz="0" w:space="0" w:color="auto"/>
        <w:bottom w:val="none" w:sz="0" w:space="0" w:color="auto"/>
        <w:right w:val="none" w:sz="0" w:space="0" w:color="auto"/>
      </w:divBdr>
    </w:div>
    <w:div w:id="499858784">
      <w:bodyDiv w:val="1"/>
      <w:marLeft w:val="0"/>
      <w:marRight w:val="0"/>
      <w:marTop w:val="0"/>
      <w:marBottom w:val="0"/>
      <w:divBdr>
        <w:top w:val="none" w:sz="0" w:space="0" w:color="auto"/>
        <w:left w:val="none" w:sz="0" w:space="0" w:color="auto"/>
        <w:bottom w:val="none" w:sz="0" w:space="0" w:color="auto"/>
        <w:right w:val="none" w:sz="0" w:space="0" w:color="auto"/>
      </w:divBdr>
    </w:div>
    <w:div w:id="501429540">
      <w:bodyDiv w:val="1"/>
      <w:marLeft w:val="0"/>
      <w:marRight w:val="0"/>
      <w:marTop w:val="0"/>
      <w:marBottom w:val="0"/>
      <w:divBdr>
        <w:top w:val="none" w:sz="0" w:space="0" w:color="auto"/>
        <w:left w:val="none" w:sz="0" w:space="0" w:color="auto"/>
        <w:bottom w:val="none" w:sz="0" w:space="0" w:color="auto"/>
        <w:right w:val="none" w:sz="0" w:space="0" w:color="auto"/>
      </w:divBdr>
    </w:div>
    <w:div w:id="524175613">
      <w:bodyDiv w:val="1"/>
      <w:marLeft w:val="0"/>
      <w:marRight w:val="0"/>
      <w:marTop w:val="0"/>
      <w:marBottom w:val="0"/>
      <w:divBdr>
        <w:top w:val="none" w:sz="0" w:space="0" w:color="auto"/>
        <w:left w:val="none" w:sz="0" w:space="0" w:color="auto"/>
        <w:bottom w:val="none" w:sz="0" w:space="0" w:color="auto"/>
        <w:right w:val="none" w:sz="0" w:space="0" w:color="auto"/>
      </w:divBdr>
    </w:div>
    <w:div w:id="569317082">
      <w:bodyDiv w:val="1"/>
      <w:marLeft w:val="0"/>
      <w:marRight w:val="0"/>
      <w:marTop w:val="0"/>
      <w:marBottom w:val="0"/>
      <w:divBdr>
        <w:top w:val="none" w:sz="0" w:space="0" w:color="auto"/>
        <w:left w:val="none" w:sz="0" w:space="0" w:color="auto"/>
        <w:bottom w:val="none" w:sz="0" w:space="0" w:color="auto"/>
        <w:right w:val="none" w:sz="0" w:space="0" w:color="auto"/>
      </w:divBdr>
    </w:div>
    <w:div w:id="577784497">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56880969">
      <w:bodyDiv w:val="1"/>
      <w:marLeft w:val="0"/>
      <w:marRight w:val="0"/>
      <w:marTop w:val="0"/>
      <w:marBottom w:val="0"/>
      <w:divBdr>
        <w:top w:val="none" w:sz="0" w:space="0" w:color="auto"/>
        <w:left w:val="none" w:sz="0" w:space="0" w:color="auto"/>
        <w:bottom w:val="none" w:sz="0" w:space="0" w:color="auto"/>
        <w:right w:val="none" w:sz="0" w:space="0" w:color="auto"/>
      </w:divBdr>
    </w:div>
    <w:div w:id="657029391">
      <w:bodyDiv w:val="1"/>
      <w:marLeft w:val="0"/>
      <w:marRight w:val="0"/>
      <w:marTop w:val="0"/>
      <w:marBottom w:val="0"/>
      <w:divBdr>
        <w:top w:val="none" w:sz="0" w:space="0" w:color="auto"/>
        <w:left w:val="none" w:sz="0" w:space="0" w:color="auto"/>
        <w:bottom w:val="none" w:sz="0" w:space="0" w:color="auto"/>
        <w:right w:val="none" w:sz="0" w:space="0" w:color="auto"/>
      </w:divBdr>
    </w:div>
    <w:div w:id="689183362">
      <w:bodyDiv w:val="1"/>
      <w:marLeft w:val="0"/>
      <w:marRight w:val="0"/>
      <w:marTop w:val="0"/>
      <w:marBottom w:val="0"/>
      <w:divBdr>
        <w:top w:val="none" w:sz="0" w:space="0" w:color="auto"/>
        <w:left w:val="none" w:sz="0" w:space="0" w:color="auto"/>
        <w:bottom w:val="none" w:sz="0" w:space="0" w:color="auto"/>
        <w:right w:val="none" w:sz="0" w:space="0" w:color="auto"/>
      </w:divBdr>
    </w:div>
    <w:div w:id="690647068">
      <w:bodyDiv w:val="1"/>
      <w:marLeft w:val="0"/>
      <w:marRight w:val="0"/>
      <w:marTop w:val="0"/>
      <w:marBottom w:val="0"/>
      <w:divBdr>
        <w:top w:val="none" w:sz="0" w:space="0" w:color="auto"/>
        <w:left w:val="none" w:sz="0" w:space="0" w:color="auto"/>
        <w:bottom w:val="none" w:sz="0" w:space="0" w:color="auto"/>
        <w:right w:val="none" w:sz="0" w:space="0" w:color="auto"/>
      </w:divBdr>
    </w:div>
    <w:div w:id="74981597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251251">
      <w:bodyDiv w:val="1"/>
      <w:marLeft w:val="0"/>
      <w:marRight w:val="0"/>
      <w:marTop w:val="0"/>
      <w:marBottom w:val="0"/>
      <w:divBdr>
        <w:top w:val="none" w:sz="0" w:space="0" w:color="auto"/>
        <w:left w:val="none" w:sz="0" w:space="0" w:color="auto"/>
        <w:bottom w:val="none" w:sz="0" w:space="0" w:color="auto"/>
        <w:right w:val="none" w:sz="0" w:space="0" w:color="auto"/>
      </w:divBdr>
    </w:div>
    <w:div w:id="781338148">
      <w:bodyDiv w:val="1"/>
      <w:marLeft w:val="0"/>
      <w:marRight w:val="0"/>
      <w:marTop w:val="0"/>
      <w:marBottom w:val="0"/>
      <w:divBdr>
        <w:top w:val="none" w:sz="0" w:space="0" w:color="auto"/>
        <w:left w:val="none" w:sz="0" w:space="0" w:color="auto"/>
        <w:bottom w:val="none" w:sz="0" w:space="0" w:color="auto"/>
        <w:right w:val="none" w:sz="0" w:space="0" w:color="auto"/>
      </w:divBdr>
    </w:div>
    <w:div w:id="895624135">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44536474">
      <w:bodyDiv w:val="1"/>
      <w:marLeft w:val="0"/>
      <w:marRight w:val="0"/>
      <w:marTop w:val="0"/>
      <w:marBottom w:val="0"/>
      <w:divBdr>
        <w:top w:val="none" w:sz="0" w:space="0" w:color="auto"/>
        <w:left w:val="none" w:sz="0" w:space="0" w:color="auto"/>
        <w:bottom w:val="none" w:sz="0" w:space="0" w:color="auto"/>
        <w:right w:val="none" w:sz="0" w:space="0" w:color="auto"/>
      </w:divBdr>
    </w:div>
    <w:div w:id="979336517">
      <w:bodyDiv w:val="1"/>
      <w:marLeft w:val="0"/>
      <w:marRight w:val="0"/>
      <w:marTop w:val="0"/>
      <w:marBottom w:val="0"/>
      <w:divBdr>
        <w:top w:val="none" w:sz="0" w:space="0" w:color="auto"/>
        <w:left w:val="none" w:sz="0" w:space="0" w:color="auto"/>
        <w:bottom w:val="none" w:sz="0" w:space="0" w:color="auto"/>
        <w:right w:val="none" w:sz="0" w:space="0" w:color="auto"/>
      </w:divBdr>
    </w:div>
    <w:div w:id="1011570492">
      <w:bodyDiv w:val="1"/>
      <w:marLeft w:val="0"/>
      <w:marRight w:val="0"/>
      <w:marTop w:val="0"/>
      <w:marBottom w:val="0"/>
      <w:divBdr>
        <w:top w:val="none" w:sz="0" w:space="0" w:color="auto"/>
        <w:left w:val="none" w:sz="0" w:space="0" w:color="auto"/>
        <w:bottom w:val="none" w:sz="0" w:space="0" w:color="auto"/>
        <w:right w:val="none" w:sz="0" w:space="0" w:color="auto"/>
      </w:divBdr>
    </w:div>
    <w:div w:id="1062405213">
      <w:bodyDiv w:val="1"/>
      <w:marLeft w:val="0"/>
      <w:marRight w:val="0"/>
      <w:marTop w:val="0"/>
      <w:marBottom w:val="0"/>
      <w:divBdr>
        <w:top w:val="none" w:sz="0" w:space="0" w:color="auto"/>
        <w:left w:val="none" w:sz="0" w:space="0" w:color="auto"/>
        <w:bottom w:val="none" w:sz="0" w:space="0" w:color="auto"/>
        <w:right w:val="none" w:sz="0" w:space="0" w:color="auto"/>
      </w:divBdr>
    </w:div>
    <w:div w:id="1079405790">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230289">
      <w:bodyDiv w:val="1"/>
      <w:marLeft w:val="0"/>
      <w:marRight w:val="0"/>
      <w:marTop w:val="0"/>
      <w:marBottom w:val="0"/>
      <w:divBdr>
        <w:top w:val="none" w:sz="0" w:space="0" w:color="auto"/>
        <w:left w:val="none" w:sz="0" w:space="0" w:color="auto"/>
        <w:bottom w:val="none" w:sz="0" w:space="0" w:color="auto"/>
        <w:right w:val="none" w:sz="0" w:space="0" w:color="auto"/>
      </w:divBdr>
    </w:div>
    <w:div w:id="1112480419">
      <w:bodyDiv w:val="1"/>
      <w:marLeft w:val="0"/>
      <w:marRight w:val="0"/>
      <w:marTop w:val="0"/>
      <w:marBottom w:val="0"/>
      <w:divBdr>
        <w:top w:val="none" w:sz="0" w:space="0" w:color="auto"/>
        <w:left w:val="none" w:sz="0" w:space="0" w:color="auto"/>
        <w:bottom w:val="none" w:sz="0" w:space="0" w:color="auto"/>
        <w:right w:val="none" w:sz="0" w:space="0" w:color="auto"/>
      </w:divBdr>
    </w:div>
    <w:div w:id="1218935174">
      <w:bodyDiv w:val="1"/>
      <w:marLeft w:val="0"/>
      <w:marRight w:val="0"/>
      <w:marTop w:val="0"/>
      <w:marBottom w:val="0"/>
      <w:divBdr>
        <w:top w:val="none" w:sz="0" w:space="0" w:color="auto"/>
        <w:left w:val="none" w:sz="0" w:space="0" w:color="auto"/>
        <w:bottom w:val="none" w:sz="0" w:space="0" w:color="auto"/>
        <w:right w:val="none" w:sz="0" w:space="0" w:color="auto"/>
      </w:divBdr>
    </w:div>
    <w:div w:id="1236550354">
      <w:bodyDiv w:val="1"/>
      <w:marLeft w:val="0"/>
      <w:marRight w:val="0"/>
      <w:marTop w:val="0"/>
      <w:marBottom w:val="0"/>
      <w:divBdr>
        <w:top w:val="none" w:sz="0" w:space="0" w:color="auto"/>
        <w:left w:val="none" w:sz="0" w:space="0" w:color="auto"/>
        <w:bottom w:val="none" w:sz="0" w:space="0" w:color="auto"/>
        <w:right w:val="none" w:sz="0" w:space="0" w:color="auto"/>
      </w:divBdr>
    </w:div>
    <w:div w:id="1244680423">
      <w:bodyDiv w:val="1"/>
      <w:marLeft w:val="0"/>
      <w:marRight w:val="0"/>
      <w:marTop w:val="0"/>
      <w:marBottom w:val="0"/>
      <w:divBdr>
        <w:top w:val="none" w:sz="0" w:space="0" w:color="auto"/>
        <w:left w:val="none" w:sz="0" w:space="0" w:color="auto"/>
        <w:bottom w:val="none" w:sz="0" w:space="0" w:color="auto"/>
        <w:right w:val="none" w:sz="0" w:space="0" w:color="auto"/>
      </w:divBdr>
    </w:div>
    <w:div w:id="1288852204">
      <w:bodyDiv w:val="1"/>
      <w:marLeft w:val="0"/>
      <w:marRight w:val="0"/>
      <w:marTop w:val="0"/>
      <w:marBottom w:val="0"/>
      <w:divBdr>
        <w:top w:val="none" w:sz="0" w:space="0" w:color="auto"/>
        <w:left w:val="none" w:sz="0" w:space="0" w:color="auto"/>
        <w:bottom w:val="none" w:sz="0" w:space="0" w:color="auto"/>
        <w:right w:val="none" w:sz="0" w:space="0" w:color="auto"/>
      </w:divBdr>
    </w:div>
    <w:div w:id="1303583614">
      <w:bodyDiv w:val="1"/>
      <w:marLeft w:val="0"/>
      <w:marRight w:val="0"/>
      <w:marTop w:val="0"/>
      <w:marBottom w:val="0"/>
      <w:divBdr>
        <w:top w:val="none" w:sz="0" w:space="0" w:color="auto"/>
        <w:left w:val="none" w:sz="0" w:space="0" w:color="auto"/>
        <w:bottom w:val="none" w:sz="0" w:space="0" w:color="auto"/>
        <w:right w:val="none" w:sz="0" w:space="0" w:color="auto"/>
      </w:divBdr>
    </w:div>
    <w:div w:id="1377701760">
      <w:bodyDiv w:val="1"/>
      <w:marLeft w:val="0"/>
      <w:marRight w:val="0"/>
      <w:marTop w:val="0"/>
      <w:marBottom w:val="0"/>
      <w:divBdr>
        <w:top w:val="none" w:sz="0" w:space="0" w:color="auto"/>
        <w:left w:val="none" w:sz="0" w:space="0" w:color="auto"/>
        <w:bottom w:val="none" w:sz="0" w:space="0" w:color="auto"/>
        <w:right w:val="none" w:sz="0" w:space="0" w:color="auto"/>
      </w:divBdr>
    </w:div>
    <w:div w:id="1379740128">
      <w:bodyDiv w:val="1"/>
      <w:marLeft w:val="0"/>
      <w:marRight w:val="0"/>
      <w:marTop w:val="0"/>
      <w:marBottom w:val="0"/>
      <w:divBdr>
        <w:top w:val="none" w:sz="0" w:space="0" w:color="auto"/>
        <w:left w:val="none" w:sz="0" w:space="0" w:color="auto"/>
        <w:bottom w:val="none" w:sz="0" w:space="0" w:color="auto"/>
        <w:right w:val="none" w:sz="0" w:space="0" w:color="auto"/>
      </w:divBdr>
    </w:div>
    <w:div w:id="1413435072">
      <w:bodyDiv w:val="1"/>
      <w:marLeft w:val="0"/>
      <w:marRight w:val="0"/>
      <w:marTop w:val="0"/>
      <w:marBottom w:val="0"/>
      <w:divBdr>
        <w:top w:val="none" w:sz="0" w:space="0" w:color="auto"/>
        <w:left w:val="none" w:sz="0" w:space="0" w:color="auto"/>
        <w:bottom w:val="none" w:sz="0" w:space="0" w:color="auto"/>
        <w:right w:val="none" w:sz="0" w:space="0" w:color="auto"/>
      </w:divBdr>
    </w:div>
    <w:div w:id="1433161959">
      <w:bodyDiv w:val="1"/>
      <w:marLeft w:val="0"/>
      <w:marRight w:val="0"/>
      <w:marTop w:val="0"/>
      <w:marBottom w:val="0"/>
      <w:divBdr>
        <w:top w:val="none" w:sz="0" w:space="0" w:color="auto"/>
        <w:left w:val="none" w:sz="0" w:space="0" w:color="auto"/>
        <w:bottom w:val="none" w:sz="0" w:space="0" w:color="auto"/>
        <w:right w:val="none" w:sz="0" w:space="0" w:color="auto"/>
      </w:divBdr>
    </w:div>
    <w:div w:id="1477188295">
      <w:bodyDiv w:val="1"/>
      <w:marLeft w:val="0"/>
      <w:marRight w:val="0"/>
      <w:marTop w:val="0"/>
      <w:marBottom w:val="0"/>
      <w:divBdr>
        <w:top w:val="none" w:sz="0" w:space="0" w:color="auto"/>
        <w:left w:val="none" w:sz="0" w:space="0" w:color="auto"/>
        <w:bottom w:val="none" w:sz="0" w:space="0" w:color="auto"/>
        <w:right w:val="none" w:sz="0" w:space="0" w:color="auto"/>
      </w:divBdr>
    </w:div>
    <w:div w:id="1483231797">
      <w:bodyDiv w:val="1"/>
      <w:marLeft w:val="0"/>
      <w:marRight w:val="0"/>
      <w:marTop w:val="0"/>
      <w:marBottom w:val="0"/>
      <w:divBdr>
        <w:top w:val="none" w:sz="0" w:space="0" w:color="auto"/>
        <w:left w:val="none" w:sz="0" w:space="0" w:color="auto"/>
        <w:bottom w:val="none" w:sz="0" w:space="0" w:color="auto"/>
        <w:right w:val="none" w:sz="0" w:space="0" w:color="auto"/>
      </w:divBdr>
    </w:div>
    <w:div w:id="1501702149">
      <w:bodyDiv w:val="1"/>
      <w:marLeft w:val="0"/>
      <w:marRight w:val="0"/>
      <w:marTop w:val="0"/>
      <w:marBottom w:val="0"/>
      <w:divBdr>
        <w:top w:val="none" w:sz="0" w:space="0" w:color="auto"/>
        <w:left w:val="none" w:sz="0" w:space="0" w:color="auto"/>
        <w:bottom w:val="none" w:sz="0" w:space="0" w:color="auto"/>
        <w:right w:val="none" w:sz="0" w:space="0" w:color="auto"/>
      </w:divBdr>
    </w:div>
    <w:div w:id="1504928912">
      <w:bodyDiv w:val="1"/>
      <w:marLeft w:val="0"/>
      <w:marRight w:val="0"/>
      <w:marTop w:val="0"/>
      <w:marBottom w:val="0"/>
      <w:divBdr>
        <w:top w:val="none" w:sz="0" w:space="0" w:color="auto"/>
        <w:left w:val="none" w:sz="0" w:space="0" w:color="auto"/>
        <w:bottom w:val="none" w:sz="0" w:space="0" w:color="auto"/>
        <w:right w:val="none" w:sz="0" w:space="0" w:color="auto"/>
      </w:divBdr>
    </w:div>
    <w:div w:id="1551108931">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7101270">
      <w:bodyDiv w:val="1"/>
      <w:marLeft w:val="0"/>
      <w:marRight w:val="0"/>
      <w:marTop w:val="0"/>
      <w:marBottom w:val="0"/>
      <w:divBdr>
        <w:top w:val="none" w:sz="0" w:space="0" w:color="auto"/>
        <w:left w:val="none" w:sz="0" w:space="0" w:color="auto"/>
        <w:bottom w:val="none" w:sz="0" w:space="0" w:color="auto"/>
        <w:right w:val="none" w:sz="0" w:space="0" w:color="auto"/>
      </w:divBdr>
    </w:div>
    <w:div w:id="1665206131">
      <w:bodyDiv w:val="1"/>
      <w:marLeft w:val="0"/>
      <w:marRight w:val="0"/>
      <w:marTop w:val="0"/>
      <w:marBottom w:val="0"/>
      <w:divBdr>
        <w:top w:val="none" w:sz="0" w:space="0" w:color="auto"/>
        <w:left w:val="none" w:sz="0" w:space="0" w:color="auto"/>
        <w:bottom w:val="none" w:sz="0" w:space="0" w:color="auto"/>
        <w:right w:val="none" w:sz="0" w:space="0" w:color="auto"/>
      </w:divBdr>
    </w:div>
    <w:div w:id="1713536808">
      <w:bodyDiv w:val="1"/>
      <w:marLeft w:val="0"/>
      <w:marRight w:val="0"/>
      <w:marTop w:val="0"/>
      <w:marBottom w:val="0"/>
      <w:divBdr>
        <w:top w:val="none" w:sz="0" w:space="0" w:color="auto"/>
        <w:left w:val="none" w:sz="0" w:space="0" w:color="auto"/>
        <w:bottom w:val="none" w:sz="0" w:space="0" w:color="auto"/>
        <w:right w:val="none" w:sz="0" w:space="0" w:color="auto"/>
      </w:divBdr>
    </w:div>
    <w:div w:id="1725449085">
      <w:bodyDiv w:val="1"/>
      <w:marLeft w:val="0"/>
      <w:marRight w:val="0"/>
      <w:marTop w:val="0"/>
      <w:marBottom w:val="0"/>
      <w:divBdr>
        <w:top w:val="none" w:sz="0" w:space="0" w:color="auto"/>
        <w:left w:val="none" w:sz="0" w:space="0" w:color="auto"/>
        <w:bottom w:val="none" w:sz="0" w:space="0" w:color="auto"/>
        <w:right w:val="none" w:sz="0" w:space="0" w:color="auto"/>
      </w:divBdr>
    </w:div>
    <w:div w:id="1727487655">
      <w:bodyDiv w:val="1"/>
      <w:marLeft w:val="0"/>
      <w:marRight w:val="0"/>
      <w:marTop w:val="0"/>
      <w:marBottom w:val="0"/>
      <w:divBdr>
        <w:top w:val="none" w:sz="0" w:space="0" w:color="auto"/>
        <w:left w:val="none" w:sz="0" w:space="0" w:color="auto"/>
        <w:bottom w:val="none" w:sz="0" w:space="0" w:color="auto"/>
        <w:right w:val="none" w:sz="0" w:space="0" w:color="auto"/>
      </w:divBdr>
    </w:div>
    <w:div w:id="1734231920">
      <w:bodyDiv w:val="1"/>
      <w:marLeft w:val="0"/>
      <w:marRight w:val="0"/>
      <w:marTop w:val="0"/>
      <w:marBottom w:val="0"/>
      <w:divBdr>
        <w:top w:val="none" w:sz="0" w:space="0" w:color="auto"/>
        <w:left w:val="none" w:sz="0" w:space="0" w:color="auto"/>
        <w:bottom w:val="none" w:sz="0" w:space="0" w:color="auto"/>
        <w:right w:val="none" w:sz="0" w:space="0" w:color="auto"/>
      </w:divBdr>
    </w:div>
    <w:div w:id="1737164796">
      <w:bodyDiv w:val="1"/>
      <w:marLeft w:val="0"/>
      <w:marRight w:val="0"/>
      <w:marTop w:val="0"/>
      <w:marBottom w:val="0"/>
      <w:divBdr>
        <w:top w:val="none" w:sz="0" w:space="0" w:color="auto"/>
        <w:left w:val="none" w:sz="0" w:space="0" w:color="auto"/>
        <w:bottom w:val="none" w:sz="0" w:space="0" w:color="auto"/>
        <w:right w:val="none" w:sz="0" w:space="0" w:color="auto"/>
      </w:divBdr>
      <w:divsChild>
        <w:div w:id="322393147">
          <w:marLeft w:val="0"/>
          <w:marRight w:val="0"/>
          <w:marTop w:val="0"/>
          <w:marBottom w:val="0"/>
          <w:divBdr>
            <w:top w:val="none" w:sz="0" w:space="0" w:color="auto"/>
            <w:left w:val="none" w:sz="0" w:space="0" w:color="auto"/>
            <w:bottom w:val="none" w:sz="0" w:space="0" w:color="auto"/>
            <w:right w:val="none" w:sz="0" w:space="0" w:color="auto"/>
          </w:divBdr>
        </w:div>
        <w:div w:id="1928268700">
          <w:marLeft w:val="0"/>
          <w:marRight w:val="0"/>
          <w:marTop w:val="0"/>
          <w:marBottom w:val="0"/>
          <w:divBdr>
            <w:top w:val="none" w:sz="0" w:space="0" w:color="auto"/>
            <w:left w:val="none" w:sz="0" w:space="0" w:color="auto"/>
            <w:bottom w:val="none" w:sz="0" w:space="0" w:color="auto"/>
            <w:right w:val="none" w:sz="0" w:space="0" w:color="auto"/>
          </w:divBdr>
        </w:div>
      </w:divsChild>
    </w:div>
    <w:div w:id="1738431831">
      <w:bodyDiv w:val="1"/>
      <w:marLeft w:val="0"/>
      <w:marRight w:val="0"/>
      <w:marTop w:val="0"/>
      <w:marBottom w:val="0"/>
      <w:divBdr>
        <w:top w:val="none" w:sz="0" w:space="0" w:color="auto"/>
        <w:left w:val="none" w:sz="0" w:space="0" w:color="auto"/>
        <w:bottom w:val="none" w:sz="0" w:space="0" w:color="auto"/>
        <w:right w:val="none" w:sz="0" w:space="0" w:color="auto"/>
      </w:divBdr>
    </w:div>
    <w:div w:id="1759018101">
      <w:bodyDiv w:val="1"/>
      <w:marLeft w:val="0"/>
      <w:marRight w:val="0"/>
      <w:marTop w:val="0"/>
      <w:marBottom w:val="0"/>
      <w:divBdr>
        <w:top w:val="none" w:sz="0" w:space="0" w:color="auto"/>
        <w:left w:val="none" w:sz="0" w:space="0" w:color="auto"/>
        <w:bottom w:val="none" w:sz="0" w:space="0" w:color="auto"/>
        <w:right w:val="none" w:sz="0" w:space="0" w:color="auto"/>
      </w:divBdr>
    </w:div>
    <w:div w:id="1767651596">
      <w:bodyDiv w:val="1"/>
      <w:marLeft w:val="0"/>
      <w:marRight w:val="0"/>
      <w:marTop w:val="0"/>
      <w:marBottom w:val="0"/>
      <w:divBdr>
        <w:top w:val="none" w:sz="0" w:space="0" w:color="auto"/>
        <w:left w:val="none" w:sz="0" w:space="0" w:color="auto"/>
        <w:bottom w:val="none" w:sz="0" w:space="0" w:color="auto"/>
        <w:right w:val="none" w:sz="0" w:space="0" w:color="auto"/>
      </w:divBdr>
    </w:div>
    <w:div w:id="1800881588">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55537079">
      <w:bodyDiv w:val="1"/>
      <w:marLeft w:val="0"/>
      <w:marRight w:val="0"/>
      <w:marTop w:val="0"/>
      <w:marBottom w:val="0"/>
      <w:divBdr>
        <w:top w:val="none" w:sz="0" w:space="0" w:color="auto"/>
        <w:left w:val="none" w:sz="0" w:space="0" w:color="auto"/>
        <w:bottom w:val="none" w:sz="0" w:space="0" w:color="auto"/>
        <w:right w:val="none" w:sz="0" w:space="0" w:color="auto"/>
      </w:divBdr>
    </w:div>
    <w:div w:id="188135814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4365932">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2868881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1498389">
      <w:bodyDiv w:val="1"/>
      <w:marLeft w:val="0"/>
      <w:marRight w:val="0"/>
      <w:marTop w:val="0"/>
      <w:marBottom w:val="0"/>
      <w:divBdr>
        <w:top w:val="none" w:sz="0" w:space="0" w:color="auto"/>
        <w:left w:val="none" w:sz="0" w:space="0" w:color="auto"/>
        <w:bottom w:val="none" w:sz="0" w:space="0" w:color="auto"/>
        <w:right w:val="none" w:sz="0" w:space="0" w:color="auto"/>
      </w:divBdr>
    </w:div>
    <w:div w:id="1969387387">
      <w:bodyDiv w:val="1"/>
      <w:marLeft w:val="0"/>
      <w:marRight w:val="0"/>
      <w:marTop w:val="0"/>
      <w:marBottom w:val="0"/>
      <w:divBdr>
        <w:top w:val="none" w:sz="0" w:space="0" w:color="auto"/>
        <w:left w:val="none" w:sz="0" w:space="0" w:color="auto"/>
        <w:bottom w:val="none" w:sz="0" w:space="0" w:color="auto"/>
        <w:right w:val="none" w:sz="0" w:space="0" w:color="auto"/>
      </w:divBdr>
    </w:div>
    <w:div w:id="1993829044">
      <w:bodyDiv w:val="1"/>
      <w:marLeft w:val="0"/>
      <w:marRight w:val="0"/>
      <w:marTop w:val="0"/>
      <w:marBottom w:val="0"/>
      <w:divBdr>
        <w:top w:val="none" w:sz="0" w:space="0" w:color="auto"/>
        <w:left w:val="none" w:sz="0" w:space="0" w:color="auto"/>
        <w:bottom w:val="none" w:sz="0" w:space="0" w:color="auto"/>
        <w:right w:val="none" w:sz="0" w:space="0" w:color="auto"/>
      </w:divBdr>
    </w:div>
    <w:div w:id="2057585317">
      <w:bodyDiv w:val="1"/>
      <w:marLeft w:val="0"/>
      <w:marRight w:val="0"/>
      <w:marTop w:val="0"/>
      <w:marBottom w:val="0"/>
      <w:divBdr>
        <w:top w:val="none" w:sz="0" w:space="0" w:color="auto"/>
        <w:left w:val="none" w:sz="0" w:space="0" w:color="auto"/>
        <w:bottom w:val="none" w:sz="0" w:space="0" w:color="auto"/>
        <w:right w:val="none" w:sz="0" w:space="0" w:color="auto"/>
      </w:divBdr>
    </w:div>
    <w:div w:id="2088307025">
      <w:bodyDiv w:val="1"/>
      <w:marLeft w:val="0"/>
      <w:marRight w:val="0"/>
      <w:marTop w:val="0"/>
      <w:marBottom w:val="0"/>
      <w:divBdr>
        <w:top w:val="none" w:sz="0" w:space="0" w:color="auto"/>
        <w:left w:val="none" w:sz="0" w:space="0" w:color="auto"/>
        <w:bottom w:val="none" w:sz="0" w:space="0" w:color="auto"/>
        <w:right w:val="none" w:sz="0" w:space="0" w:color="auto"/>
      </w:divBdr>
    </w:div>
    <w:div w:id="209370168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36946536">
      <w:bodyDiv w:val="1"/>
      <w:marLeft w:val="0"/>
      <w:marRight w:val="0"/>
      <w:marTop w:val="0"/>
      <w:marBottom w:val="0"/>
      <w:divBdr>
        <w:top w:val="none" w:sz="0" w:space="0" w:color="auto"/>
        <w:left w:val="none" w:sz="0" w:space="0" w:color="auto"/>
        <w:bottom w:val="none" w:sz="0" w:space="0" w:color="auto"/>
        <w:right w:val="none" w:sz="0" w:space="0" w:color="auto"/>
      </w:divBdr>
    </w:div>
    <w:div w:id="213883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reb.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3FDB2C6CE5C842BD280E216888E8BC" ma:contentTypeVersion="5" ma:contentTypeDescription="Ein neues Dokument erstellen." ma:contentTypeScope="" ma:versionID="9311b00e49ed14b18670d143d3e38e9d">
  <xsd:schema xmlns:xsd="http://www.w3.org/2001/XMLSchema" xmlns:xs="http://www.w3.org/2001/XMLSchema" xmlns:p="http://schemas.microsoft.com/office/2006/metadata/properties" xmlns:ns2="87cf4355-7b4a-4125-9a31-6f3e6126c7f7" xmlns:ns3="979de2fb-0ed5-4efb-ae1e-ada942fd485d" targetNamespace="http://schemas.microsoft.com/office/2006/metadata/properties" ma:root="true" ma:fieldsID="3ad5fbe91176d7063f6f06383ff47c20" ns2:_="" ns3:_="">
    <xsd:import namespace="87cf4355-7b4a-4125-9a31-6f3e6126c7f7"/>
    <xsd:import namespace="979de2fb-0ed5-4efb-ae1e-ada942fd4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f4355-7b4a-4125-9a31-6f3e6126c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de2fb-0ed5-4efb-ae1e-ada942fd485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E39AF-67C1-4375-A264-20AB341D4B66}">
  <ds:schemaRefs>
    <ds:schemaRef ds:uri="http://schemas.microsoft.com/sharepoint/v3/contenttype/forms"/>
  </ds:schemaRefs>
</ds:datastoreItem>
</file>

<file path=customXml/itemProps2.xml><?xml version="1.0" encoding="utf-8"?>
<ds:datastoreItem xmlns:ds="http://schemas.openxmlformats.org/officeDocument/2006/customXml" ds:itemID="{A5A90C53-5E3E-4467-85FB-70BA5276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f4355-7b4a-4125-9a31-6f3e6126c7f7"/>
    <ds:schemaRef ds:uri="979de2fb-0ed5-4efb-ae1e-ada942fd4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0EF2D-979A-487C-8213-8F6B1EF07C3A}">
  <ds:schemaRefs>
    <ds:schemaRef ds:uri="http://schemas.openxmlformats.org/officeDocument/2006/bibliography"/>
  </ds:schemaRefs>
</ds:datastoreItem>
</file>

<file path=customXml/itemProps4.xml><?xml version="1.0" encoding="utf-8"?>
<ds:datastoreItem xmlns:ds="http://schemas.openxmlformats.org/officeDocument/2006/customXml" ds:itemID="{9582C2C3-565D-4603-8B90-D44533147A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6321</Words>
  <Characters>40476</Characters>
  <Application>Microsoft Office Word</Application>
  <DocSecurity>0</DocSecurity>
  <Lines>337</Lines>
  <Paragraphs>93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VANFLYTA, INN-quizartinib</vt:lpstr>
      <vt:lpstr>VANFLYTA, INN-quizartinib</vt:lpstr>
      <vt:lpstr>VANFLYTA, INN-quizartinib</vt:lpstr>
    </vt:vector>
  </TitlesOfParts>
  <Company>Daiichi Sankyo GmbH</Company>
  <LinksUpToDate>false</LinksUpToDate>
  <CharactersWithSpaces>46704</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VANFLYTA, INN-quizartinib</dc:title>
  <dc:subject>EPAR</dc:subject>
  <dc:creator>CHMP</dc:creator>
  <cp:keywords>VANFLYTA, INN-quizartinib</cp:keywords>
  <cp:lastModifiedBy>Joris De Ruysscher</cp:lastModifiedBy>
  <cp:revision>7</cp:revision>
  <cp:lastPrinted>2018-10-22T11:00:00Z</cp:lastPrinted>
  <dcterms:created xsi:type="dcterms:W3CDTF">2023-11-10T14:47:00Z</dcterms:created>
  <dcterms:modified xsi:type="dcterms:W3CDTF">2023-11-13T14:41:00Z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ContentTypeId">
    <vt:lpwstr>0x0101002C3FDB2C6CE5C842BD280E216888E8BC</vt:lpwstr>
  </property>
  <property fmtid="{D5CDD505-2E9C-101B-9397-08002B2CF9AE}" pid="44" name="MSIP_Label_6ddddc05-6d75-4c89-ae8a-b8ab1a1994bc_Enabled">
    <vt:lpwstr>true</vt:lpwstr>
  </property>
  <property fmtid="{D5CDD505-2E9C-101B-9397-08002B2CF9AE}" pid="45" name="MSIP_Label_6ddddc05-6d75-4c89-ae8a-b8ab1a1994bc_SetDate">
    <vt:lpwstr>2023-07-06T16:06:44Z</vt:lpwstr>
  </property>
  <property fmtid="{D5CDD505-2E9C-101B-9397-08002B2CF9AE}" pid="46" name="MSIP_Label_6ddddc05-6d75-4c89-ae8a-b8ab1a1994bc_Method">
    <vt:lpwstr>Standard</vt:lpwstr>
  </property>
  <property fmtid="{D5CDD505-2E9C-101B-9397-08002B2CF9AE}" pid="47" name="MSIP_Label_6ddddc05-6d75-4c89-ae8a-b8ab1a1994bc_Name">
    <vt:lpwstr>without watermark</vt:lpwstr>
  </property>
  <property fmtid="{D5CDD505-2E9C-101B-9397-08002B2CF9AE}" pid="48" name="MSIP_Label_6ddddc05-6d75-4c89-ae8a-b8ab1a1994bc_SiteId">
    <vt:lpwstr>ff9ac3ce-3c41-41c3-b556-e1b32a662fed</vt:lpwstr>
  </property>
  <property fmtid="{D5CDD505-2E9C-101B-9397-08002B2CF9AE}" pid="49" name="MSIP_Label_6ddddc05-6d75-4c89-ae8a-b8ab1a1994bc_ActionId">
    <vt:lpwstr>8ca7082c-2a5a-4ba7-97f7-ee50142485a2</vt:lpwstr>
  </property>
  <property fmtid="{D5CDD505-2E9C-101B-9397-08002B2CF9AE}" pid="50" name="MSIP_Label_6ddddc05-6d75-4c89-ae8a-b8ab1a1994bc_ContentBits">
    <vt:lpwstr>0</vt:lpwstr>
  </property>
</Properties>
</file>